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hd w:val="clear" w:color="auto" w:fill="FFFFFF"/>
        <w:spacing w:before="100" w:beforeAutospacing="1" w:after="100" w:afterAutospacing="1"/>
        <w:jc w:val="center"/>
        <w:outlineLvl w:val="3"/>
        <w:rPr>
          <w:rFonts w:hint="eastAsia" w:ascii="微软雅黑" w:hAnsi="微软雅黑" w:eastAsia="微软雅黑" w:cs="微软雅黑"/>
          <w:b/>
          <w:bCs/>
          <w:color w:val="333333"/>
          <w:kern w:val="0"/>
          <w:sz w:val="36"/>
          <w:szCs w:val="36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81915</wp:posOffset>
                </wp:positionH>
                <wp:positionV relativeFrom="paragraph">
                  <wp:posOffset>511175</wp:posOffset>
                </wp:positionV>
                <wp:extent cx="5164455" cy="0"/>
                <wp:effectExtent l="0" t="0" r="0" b="0"/>
                <wp:wrapNone/>
                <wp:docPr id="3" name="直接连接符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1211580" y="1370965"/>
                          <a:ext cx="516445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6.45pt;margin-top:40.25pt;height:0pt;width:406.65pt;z-index:251680768;mso-width-relative:page;mso-height-relative:page;" filled="f" stroked="t" coordsize="21600,21600" o:gfxdata="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">
                <v:fill on="f" focussize="0,0"/>
                <v:stroke weight="0.5pt" color="#5B9BD5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微软雅黑" w:hAnsi="微软雅黑" w:eastAsia="微软雅黑" w:cs="微软雅黑"/>
          <w:b/>
          <w:bCs/>
          <w:sz w:val="36"/>
          <w:szCs w:val="36"/>
          <w:lang w:eastAsia="zh-CN"/>
        </w:rPr>
        <w:t>集采</w:t>
      </w: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36"/>
          <w:szCs w:val="36"/>
        </w:rPr>
        <w:t>企业</w:t>
      </w: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36"/>
          <w:szCs w:val="36"/>
          <w:lang w:eastAsia="zh-CN"/>
        </w:rPr>
        <w:t>：下属企业</w:t>
      </w:r>
    </w:p>
    <w:p>
      <w:pPr>
        <w:widowControl/>
        <w:shd w:val="clear" w:color="auto" w:fill="FFFFFF"/>
        <w:spacing w:before="100" w:beforeAutospacing="1" w:after="100" w:afterAutospacing="1"/>
        <w:jc w:val="center"/>
        <w:outlineLvl w:val="3"/>
        <w:rPr>
          <w:rFonts w:hint="eastAsia" w:ascii="微软雅黑" w:hAnsi="微软雅黑" w:eastAsia="微软雅黑" w:cs="微软雅黑"/>
          <w:b w:val="0"/>
          <w:bCs w:val="0"/>
          <w:color w:val="333333"/>
          <w:kern w:val="0"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36"/>
          <w:szCs w:val="36"/>
          <w:lang w:eastAsia="zh-CN"/>
        </w:rPr>
        <w:t>平台</w:t>
      </w: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36"/>
          <w:szCs w:val="36"/>
        </w:rPr>
        <w:t>采购</w:t>
      </w: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36"/>
          <w:szCs w:val="36"/>
          <w:lang w:eastAsia="zh-CN"/>
        </w:rPr>
        <w:t>操作</w:t>
      </w: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36"/>
          <w:szCs w:val="36"/>
        </w:rPr>
        <w:t>流程</w:t>
      </w:r>
    </w:p>
    <w:p>
      <w:pPr>
        <w:pStyle w:val="11"/>
        <w:widowControl/>
        <w:numPr>
          <w:ilvl w:val="0"/>
          <w:numId w:val="1"/>
        </w:numPr>
        <w:shd w:val="clear" w:color="auto" w:fill="FFFFFF"/>
        <w:spacing w:before="100" w:beforeAutospacing="1" w:after="100" w:afterAutospacing="1"/>
        <w:ind w:firstLine="0" w:firstLineChars="0"/>
        <w:jc w:val="left"/>
        <w:outlineLvl w:val="4"/>
        <w:rPr>
          <w:rFonts w:hint="eastAsia" w:ascii="微软雅黑" w:hAnsi="微软雅黑" w:eastAsia="微软雅黑" w:cs="微软雅黑"/>
          <w:b/>
          <w:bCs/>
          <w:color w:val="333333"/>
          <w:kern w:val="0"/>
          <w:sz w:val="32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32"/>
          <w:szCs w:val="32"/>
        </w:rPr>
        <w:t>打开浏览器输入登录地址：</w:t>
      </w: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32"/>
          <w:szCs w:val="32"/>
          <w:lang w:val="en-US" w:eastAsia="zh-CN"/>
        </w:rPr>
        <w:fldChar w:fldCharType="begin"/>
      </w: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32"/>
          <w:szCs w:val="32"/>
          <w:lang w:val="en-US" w:eastAsia="zh-CN"/>
        </w:rPr>
        <w:instrText xml:space="preserve"> HYPERLINK "http://www.cqbm2007.com" </w:instrText>
      </w: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32"/>
          <w:szCs w:val="32"/>
          <w:lang w:val="en-US" w:eastAsia="zh-CN"/>
        </w:rPr>
        <w:fldChar w:fldCharType="separate"/>
      </w:r>
      <w:r>
        <w:rPr>
          <w:rStyle w:val="5"/>
          <w:rFonts w:hint="eastAsia" w:ascii="微软雅黑" w:hAnsi="微软雅黑" w:eastAsia="微软雅黑" w:cs="微软雅黑"/>
          <w:b/>
          <w:bCs/>
          <w:color w:val="333333"/>
          <w:kern w:val="0"/>
          <w:sz w:val="32"/>
          <w:szCs w:val="32"/>
          <w:lang w:val="en-US" w:eastAsia="zh-CN"/>
        </w:rPr>
        <w:t>www.cqbm2007.com</w:t>
      </w: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32"/>
          <w:szCs w:val="32"/>
          <w:lang w:val="en-US" w:eastAsia="zh-CN"/>
        </w:rPr>
        <w:fldChar w:fldCharType="end"/>
      </w:r>
    </w:p>
    <w:p>
      <w:pPr>
        <w:pStyle w:val="11"/>
        <w:widowControl/>
        <w:numPr>
          <w:ilvl w:val="0"/>
          <w:numId w:val="2"/>
        </w:numPr>
        <w:shd w:val="clear" w:color="auto" w:fill="FFFFFF"/>
        <w:spacing w:before="100" w:beforeAutospacing="1" w:after="100" w:afterAutospacing="1"/>
        <w:ind w:left="420" w:leftChars="0" w:hanging="420" w:firstLineChars="0"/>
        <w:jc w:val="left"/>
        <w:outlineLvl w:val="4"/>
        <w:rPr>
          <w:rFonts w:hint="eastAsia" w:ascii="微软雅黑" w:hAnsi="微软雅黑" w:eastAsia="微软雅黑" w:cs="微软雅黑"/>
          <w:b/>
          <w:bCs/>
          <w:color w:val="333333"/>
          <w:kern w:val="0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32"/>
          <w:szCs w:val="32"/>
          <w:lang w:val="en-US" w:eastAsia="zh-CN"/>
        </w:rPr>
        <w:t>点击页面顶部“登录”按钮</w:t>
      </w:r>
    </w:p>
    <w:p>
      <w:pPr>
        <w:pStyle w:val="11"/>
        <w:widowControl/>
        <w:numPr>
          <w:ilvl w:val="0"/>
          <w:numId w:val="0"/>
        </w:numPr>
        <w:shd w:val="clear" w:color="auto" w:fill="FFFFFF"/>
        <w:spacing w:before="100" w:beforeAutospacing="1" w:after="100" w:afterAutospacing="1"/>
        <w:jc w:val="left"/>
        <w:outlineLvl w:val="4"/>
        <w:rPr>
          <w:rFonts w:hint="eastAsia"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w:drawing>
          <wp:inline distT="0" distB="0" distL="114300" distR="114300">
            <wp:extent cx="5264785" cy="2257425"/>
            <wp:effectExtent l="0" t="0" r="12065" b="952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widowControl/>
        <w:numPr>
          <w:ilvl w:val="0"/>
          <w:numId w:val="2"/>
        </w:numPr>
        <w:shd w:val="clear" w:color="auto" w:fill="FFFFFF"/>
        <w:spacing w:before="100" w:beforeAutospacing="1" w:after="100" w:afterAutospacing="1"/>
        <w:ind w:left="420" w:leftChars="0" w:hanging="420" w:firstLineChars="0"/>
        <w:jc w:val="left"/>
        <w:outlineLvl w:val="4"/>
        <w:rPr>
          <w:rFonts w:hint="eastAsia" w:ascii="微软雅黑" w:hAnsi="微软雅黑" w:eastAsia="微软雅黑" w:cs="微软雅黑"/>
          <w:b/>
          <w:bCs/>
          <w:color w:val="333333"/>
          <w:kern w:val="0"/>
          <w:sz w:val="32"/>
          <w:szCs w:val="32"/>
        </w:rPr>
      </w:pP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32"/>
          <w:szCs w:val="32"/>
        </w:rPr>
        <w:t>输入你的帐户名+密码进行登录。</w:t>
      </w:r>
    </w:p>
    <w:p>
      <w:pPr>
        <w:pStyle w:val="11"/>
        <w:widowControl/>
        <w:shd w:val="clear" w:color="auto" w:fill="FFFFFF"/>
        <w:spacing w:before="100" w:beforeAutospacing="1" w:after="100" w:afterAutospacing="1"/>
        <w:ind w:firstLine="0" w:firstLineChars="0"/>
        <w:jc w:val="left"/>
        <w:outlineLvl w:val="4"/>
        <w:rPr>
          <w:rFonts w:hint="eastAsia"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w:drawing>
          <wp:inline distT="0" distB="0" distL="114300" distR="114300">
            <wp:extent cx="5268595" cy="2982595"/>
            <wp:effectExtent l="0" t="0" r="8255" b="8255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9825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widowControl/>
        <w:numPr>
          <w:ilvl w:val="0"/>
          <w:numId w:val="2"/>
        </w:numPr>
        <w:shd w:val="clear" w:color="auto" w:fill="FFFFFF"/>
        <w:spacing w:before="100" w:beforeAutospacing="1" w:after="100" w:afterAutospacing="1"/>
        <w:ind w:left="420" w:leftChars="0" w:hanging="420" w:firstLineChars="0"/>
        <w:jc w:val="left"/>
        <w:outlineLvl w:val="4"/>
        <w:rPr>
          <w:rFonts w:hint="eastAsia" w:ascii="微软雅黑" w:hAnsi="微软雅黑" w:eastAsia="微软雅黑" w:cs="微软雅黑"/>
          <w:b/>
          <w:bCs/>
          <w:color w:val="262626" w:themeColor="text1" w:themeTint="D9"/>
          <w:sz w:val="32"/>
          <w:szCs w:val="32"/>
          <w:lang w:eastAsia="zh-CN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</w:pPr>
      <w:r>
        <w:rPr>
          <w:rFonts w:hint="eastAsia" w:ascii="微软雅黑" w:hAnsi="微软雅黑" w:eastAsia="微软雅黑" w:cs="微软雅黑"/>
          <w:b/>
          <w:bCs/>
          <w:color w:val="262626" w:themeColor="text1" w:themeTint="D9"/>
          <w:sz w:val="32"/>
          <w:szCs w:val="32"/>
          <w:lang w:eastAsia="zh-CN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登录成功后，再次点击页面顶部“用户中心”，进入用户后台管理中心。</w:t>
      </w:r>
    </w:p>
    <w:p>
      <w:pPr>
        <w:pStyle w:val="11"/>
        <w:widowControl/>
        <w:numPr>
          <w:ilvl w:val="0"/>
          <w:numId w:val="0"/>
        </w:numPr>
        <w:shd w:val="clear" w:color="auto" w:fill="FFFFFF"/>
        <w:spacing w:before="100" w:beforeAutospacing="1" w:after="100" w:afterAutospacing="1"/>
        <w:jc w:val="left"/>
        <w:outlineLvl w:val="4"/>
        <w:rPr>
          <w:rFonts w:hint="eastAsia" w:ascii="微软雅黑" w:hAnsi="微软雅黑" w:eastAsia="微软雅黑" w:cs="微软雅黑"/>
          <w:sz w:val="28"/>
          <w:szCs w:val="28"/>
          <w:lang w:eastAsia="zh-CN"/>
        </w:rPr>
      </w:pPr>
      <w:r>
        <w:drawing>
          <wp:inline distT="0" distB="0" distL="114300" distR="114300">
            <wp:extent cx="5270500" cy="2254250"/>
            <wp:effectExtent l="0" t="0" r="6350" b="12700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254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"/>
        <w:widowControl/>
        <w:numPr>
          <w:ilvl w:val="0"/>
          <w:numId w:val="0"/>
        </w:numPr>
        <w:shd w:val="clear" w:color="auto" w:fill="FFFFFF"/>
        <w:spacing w:before="100" w:beforeAutospacing="1" w:after="100" w:afterAutospacing="1"/>
        <w:jc w:val="left"/>
        <w:outlineLvl w:val="4"/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w:drawing>
          <wp:inline distT="0" distB="0" distL="114300" distR="114300">
            <wp:extent cx="5267325" cy="2860675"/>
            <wp:effectExtent l="0" t="0" r="9525" b="15875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860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"/>
        <w:widowControl/>
        <w:numPr>
          <w:ilvl w:val="0"/>
          <w:numId w:val="0"/>
        </w:numPr>
        <w:shd w:val="clear" w:color="auto" w:fill="FFFFFF"/>
        <w:spacing w:before="100" w:beforeAutospacing="1" w:after="100" w:afterAutospacing="1"/>
        <w:ind w:leftChars="0"/>
        <w:jc w:val="left"/>
        <w:outlineLvl w:val="4"/>
        <w:rPr>
          <w:rFonts w:hint="eastAsia" w:ascii="微软雅黑" w:hAnsi="微软雅黑" w:eastAsia="微软雅黑" w:cs="微软雅黑"/>
          <w:b/>
          <w:bCs/>
          <w:color w:val="333333"/>
          <w:kern w:val="0"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32"/>
          <w:szCs w:val="32"/>
          <w:lang w:eastAsia="zh-CN"/>
        </w:rPr>
        <w:t>二、集采</w:t>
      </w: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32"/>
          <w:szCs w:val="32"/>
        </w:rPr>
        <w:t>企业--采购人员</w:t>
      </w: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32"/>
          <w:szCs w:val="32"/>
          <w:lang w:eastAsia="zh-CN"/>
        </w:rPr>
        <w:t>：</w:t>
      </w:r>
      <w:r>
        <w:rPr>
          <w:rFonts w:hint="eastAsia" w:ascii="微软雅黑" w:hAnsi="微软雅黑" w:eastAsia="微软雅黑" w:cs="微软雅黑"/>
          <w:b/>
          <w:bCs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采购计划</w:t>
      </w:r>
      <w:r>
        <w:rPr>
          <w:rFonts w:hint="eastAsia" w:ascii="微软雅黑" w:hAnsi="微软雅黑" w:eastAsia="微软雅黑" w:cs="微软雅黑"/>
          <w:b/>
          <w:bCs/>
          <w:color w:val="000000" w:themeColor="text1"/>
          <w:kern w:val="0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管理、处理采购计划</w:t>
      </w:r>
      <w:r>
        <w:rPr>
          <w:rFonts w:hint="eastAsia" w:ascii="微软雅黑" w:hAnsi="微软雅黑" w:eastAsia="微软雅黑" w:cs="微软雅黑"/>
          <w:b/>
          <w:bCs/>
          <w:color w:val="C00000"/>
          <w:kern w:val="0"/>
          <w:sz w:val="32"/>
          <w:szCs w:val="32"/>
          <w:lang w:eastAsia="zh-CN"/>
        </w:rPr>
        <w:t>（下属企业）</w:t>
      </w:r>
    </w:p>
    <w:p>
      <w:pPr>
        <w:widowControl/>
        <w:shd w:val="clear" w:color="auto" w:fill="FFFFFF"/>
        <w:spacing w:before="192" w:after="192"/>
        <w:jc w:val="left"/>
        <w:rPr>
          <w:rFonts w:hint="eastAsia" w:ascii="微软雅黑" w:hAnsi="微软雅黑" w:eastAsia="微软雅黑" w:cs="微软雅黑"/>
          <w:color w:val="333333"/>
          <w:kern w:val="0"/>
          <w:sz w:val="28"/>
          <w:szCs w:val="28"/>
        </w:rPr>
      </w:pPr>
      <w:r>
        <w:rPr>
          <w:rFonts w:hint="eastAsia" w:ascii="微软雅黑" w:hAnsi="微软雅黑" w:eastAsia="微软雅黑" w:cs="微软雅黑"/>
          <w:b w:val="0"/>
          <w:bCs w:val="0"/>
          <w:color w:val="333333"/>
          <w:kern w:val="0"/>
          <w:sz w:val="28"/>
          <w:szCs w:val="28"/>
          <w:lang w:eastAsia="zh-CN"/>
        </w:rPr>
        <w:t>下属企业</w:t>
      </w:r>
      <w:r>
        <w:rPr>
          <w:rFonts w:hint="eastAsia" w:ascii="微软雅黑" w:hAnsi="微软雅黑" w:eastAsia="微软雅黑" w:cs="微软雅黑"/>
          <w:color w:val="333333"/>
          <w:kern w:val="0"/>
          <w:sz w:val="28"/>
          <w:szCs w:val="28"/>
          <w:lang w:eastAsia="zh-CN"/>
        </w:rPr>
        <w:t>提交已</w:t>
      </w:r>
      <w:r>
        <w:rPr>
          <w:rFonts w:hint="eastAsia" w:ascii="微软雅黑" w:hAnsi="微软雅黑" w:eastAsia="微软雅黑" w:cs="微软雅黑"/>
          <w:color w:val="333333"/>
          <w:kern w:val="0"/>
          <w:sz w:val="28"/>
          <w:szCs w:val="28"/>
        </w:rPr>
        <w:t>审批通过的采购计划</w:t>
      </w:r>
      <w:r>
        <w:rPr>
          <w:rFonts w:hint="eastAsia" w:ascii="微软雅黑" w:hAnsi="微软雅黑" w:eastAsia="微软雅黑" w:cs="微软雅黑"/>
          <w:color w:val="333333"/>
          <w:kern w:val="0"/>
          <w:sz w:val="28"/>
          <w:szCs w:val="28"/>
          <w:lang w:eastAsia="zh-CN"/>
        </w:rPr>
        <w:t>，</w:t>
      </w:r>
      <w:r>
        <w:rPr>
          <w:rFonts w:hint="eastAsia" w:ascii="微软雅黑" w:hAnsi="微软雅黑" w:eastAsia="微软雅黑" w:cs="微软雅黑"/>
          <w:color w:val="333333"/>
          <w:kern w:val="0"/>
          <w:sz w:val="28"/>
          <w:szCs w:val="28"/>
        </w:rPr>
        <w:t>系统会</w:t>
      </w:r>
      <w:r>
        <w:rPr>
          <w:rFonts w:hint="eastAsia" w:ascii="微软雅黑" w:hAnsi="微软雅黑" w:eastAsia="微软雅黑" w:cs="微软雅黑"/>
          <w:color w:val="333333"/>
          <w:kern w:val="0"/>
          <w:sz w:val="28"/>
          <w:szCs w:val="28"/>
          <w:lang w:eastAsia="zh-CN"/>
        </w:rPr>
        <w:t>自动</w:t>
      </w:r>
      <w:r>
        <w:rPr>
          <w:rFonts w:hint="eastAsia" w:ascii="微软雅黑" w:hAnsi="微软雅黑" w:eastAsia="微软雅黑" w:cs="微软雅黑"/>
          <w:color w:val="333333"/>
          <w:kern w:val="0"/>
          <w:sz w:val="28"/>
          <w:szCs w:val="28"/>
        </w:rPr>
        <w:t>发送至</w:t>
      </w:r>
      <w:r>
        <w:rPr>
          <w:rFonts w:hint="eastAsia" w:ascii="微软雅黑" w:hAnsi="微软雅黑" w:eastAsia="微软雅黑" w:cs="微软雅黑"/>
          <w:color w:val="333333"/>
          <w:kern w:val="0"/>
          <w:sz w:val="28"/>
          <w:szCs w:val="28"/>
          <w:lang w:eastAsia="zh-CN"/>
        </w:rPr>
        <w:t>“</w:t>
      </w:r>
      <w:r>
        <w:rPr>
          <w:rFonts w:hint="eastAsia" w:ascii="微软雅黑" w:hAnsi="微软雅黑" w:eastAsia="微软雅黑" w:cs="微软雅黑"/>
          <w:color w:val="333333"/>
          <w:kern w:val="0"/>
          <w:sz w:val="28"/>
          <w:szCs w:val="28"/>
        </w:rPr>
        <w:t>集采</w:t>
      </w:r>
      <w:r>
        <w:rPr>
          <w:rFonts w:hint="eastAsia" w:ascii="微软雅黑" w:hAnsi="微软雅黑" w:eastAsia="微软雅黑" w:cs="微软雅黑"/>
          <w:color w:val="333333"/>
          <w:kern w:val="0"/>
          <w:sz w:val="28"/>
          <w:szCs w:val="28"/>
          <w:lang w:eastAsia="zh-CN"/>
        </w:rPr>
        <w:t>企业</w:t>
      </w:r>
      <w:r>
        <w:rPr>
          <w:rFonts w:hint="eastAsia" w:ascii="微软雅黑" w:hAnsi="微软雅黑" w:eastAsia="微软雅黑" w:cs="微软雅黑"/>
          <w:color w:val="333333"/>
          <w:kern w:val="0"/>
          <w:sz w:val="28"/>
          <w:szCs w:val="28"/>
          <w:lang w:val="en-US" w:eastAsia="zh-CN"/>
        </w:rPr>
        <w:t>--</w:t>
      </w:r>
      <w:r>
        <w:rPr>
          <w:rFonts w:hint="eastAsia" w:ascii="微软雅黑" w:hAnsi="微软雅黑" w:eastAsia="微软雅黑" w:cs="微软雅黑"/>
          <w:color w:val="333333"/>
          <w:kern w:val="0"/>
          <w:sz w:val="28"/>
          <w:szCs w:val="28"/>
        </w:rPr>
        <w:t>采购人员</w:t>
      </w:r>
      <w:r>
        <w:rPr>
          <w:rFonts w:hint="eastAsia" w:ascii="微软雅黑" w:hAnsi="微软雅黑" w:eastAsia="微软雅黑" w:cs="微软雅黑"/>
          <w:color w:val="333333"/>
          <w:kern w:val="0"/>
          <w:sz w:val="28"/>
          <w:szCs w:val="28"/>
          <w:lang w:eastAsia="zh-CN"/>
        </w:rPr>
        <w:t>”</w:t>
      </w:r>
      <w:r>
        <w:rPr>
          <w:rFonts w:hint="eastAsia" w:ascii="微软雅黑" w:hAnsi="微软雅黑" w:eastAsia="微软雅黑" w:cs="微软雅黑"/>
          <w:color w:val="333333"/>
          <w:kern w:val="0"/>
          <w:sz w:val="28"/>
          <w:szCs w:val="28"/>
        </w:rPr>
        <w:t>，交由其处理、询价</w:t>
      </w:r>
      <w:r>
        <w:rPr>
          <w:rFonts w:hint="eastAsia" w:ascii="微软雅黑" w:hAnsi="微软雅黑" w:eastAsia="微软雅黑" w:cs="微软雅黑"/>
          <w:color w:val="333333"/>
          <w:kern w:val="0"/>
          <w:sz w:val="28"/>
          <w:szCs w:val="28"/>
          <w:lang w:eastAsia="zh-CN"/>
        </w:rPr>
        <w:t>、发起竞价等</w:t>
      </w:r>
      <w:r>
        <w:rPr>
          <w:rFonts w:hint="eastAsia" w:ascii="微软雅黑" w:hAnsi="微软雅黑" w:eastAsia="微软雅黑" w:cs="微软雅黑"/>
          <w:color w:val="333333"/>
          <w:kern w:val="0"/>
          <w:sz w:val="28"/>
          <w:szCs w:val="28"/>
        </w:rPr>
        <w:t>。</w:t>
      </w:r>
    </w:p>
    <w:p>
      <w:pPr>
        <w:widowControl/>
        <w:shd w:val="clear" w:color="auto" w:fill="FFFFFF"/>
        <w:spacing w:before="192" w:after="192"/>
        <w:jc w:val="left"/>
        <w:rPr>
          <w:rFonts w:hint="eastAsia" w:ascii="微软雅黑" w:hAnsi="微软雅黑" w:eastAsia="微软雅黑" w:cs="微软雅黑"/>
          <w:color w:val="333333"/>
          <w:kern w:val="0"/>
          <w:sz w:val="28"/>
          <w:szCs w:val="28"/>
        </w:rPr>
      </w:pPr>
      <w:r>
        <w:rPr>
          <w:rFonts w:hint="eastAsia" w:ascii="微软雅黑" w:hAnsi="微软雅黑" w:eastAsia="微软雅黑" w:cs="微软雅黑"/>
          <w:color w:val="333333"/>
          <w:kern w:val="0"/>
          <w:sz w:val="28"/>
          <w:szCs w:val="28"/>
        </w:rPr>
        <w:drawing>
          <wp:inline distT="0" distB="0" distL="0" distR="0">
            <wp:extent cx="5267960" cy="3719195"/>
            <wp:effectExtent l="0" t="0" r="8890" b="14605"/>
            <wp:docPr id="1" name="图片 1" descr="发起竞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发起竞价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719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192" w:after="192"/>
        <w:jc w:val="left"/>
        <w:rPr>
          <w:rFonts w:hint="eastAsia" w:ascii="微软雅黑" w:hAnsi="微软雅黑" w:eastAsia="微软雅黑" w:cs="微软雅黑"/>
          <w:color w:val="333333"/>
          <w:kern w:val="0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color w:val="333333"/>
          <w:kern w:val="0"/>
          <w:sz w:val="28"/>
          <w:szCs w:val="28"/>
          <w:lang w:eastAsia="zh-CN"/>
        </w:rPr>
        <w:t>集采企业</w:t>
      </w:r>
      <w:r>
        <w:rPr>
          <w:rFonts w:hint="eastAsia" w:ascii="微软雅黑" w:hAnsi="微软雅黑" w:eastAsia="微软雅黑" w:cs="微软雅黑"/>
          <w:color w:val="333333"/>
          <w:kern w:val="0"/>
          <w:sz w:val="28"/>
          <w:szCs w:val="28"/>
          <w:lang w:val="en-US" w:eastAsia="zh-CN"/>
        </w:rPr>
        <w:t>--采购人员点击“采购计划管理--等待询价“即可查看相关采购计划详情，勾选所要发起竞价的列表项，点击右则</w:t>
      </w: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28"/>
          <w:szCs w:val="28"/>
          <w:lang w:val="en-US" w:eastAsia="zh-CN"/>
        </w:rPr>
        <w:t>“发起竞价”</w:t>
      </w:r>
      <w:r>
        <w:rPr>
          <w:rFonts w:hint="eastAsia" w:ascii="微软雅黑" w:hAnsi="微软雅黑" w:eastAsia="微软雅黑" w:cs="微软雅黑"/>
          <w:color w:val="333333"/>
          <w:kern w:val="0"/>
          <w:sz w:val="28"/>
          <w:szCs w:val="28"/>
          <w:lang w:val="en-US" w:eastAsia="zh-CN"/>
        </w:rPr>
        <w:t>即可开始竞价。</w:t>
      </w:r>
    </w:p>
    <w:p>
      <w:pPr>
        <w:widowControl/>
        <w:shd w:val="clear" w:color="auto" w:fill="FFFFFF"/>
        <w:spacing w:before="192" w:after="192"/>
        <w:jc w:val="left"/>
        <w:rPr>
          <w:rFonts w:hint="eastAsia" w:ascii="微软雅黑" w:hAnsi="微软雅黑" w:eastAsia="微软雅黑" w:cs="微软雅黑"/>
          <w:color w:val="333333"/>
          <w:kern w:val="0"/>
          <w:sz w:val="28"/>
          <w:szCs w:val="28"/>
        </w:rPr>
      </w:pPr>
      <w:r>
        <w:rPr>
          <w:rFonts w:hint="eastAsia" w:ascii="微软雅黑" w:hAnsi="微软雅黑" w:eastAsia="微软雅黑" w:cs="微软雅黑"/>
          <w:color w:val="333333"/>
          <w:kern w:val="0"/>
          <w:sz w:val="28"/>
          <w:szCs w:val="28"/>
        </w:rPr>
        <w:drawing>
          <wp:inline distT="0" distB="0" distL="0" distR="0">
            <wp:extent cx="5260975" cy="2920365"/>
            <wp:effectExtent l="0" t="0" r="15875" b="13335"/>
            <wp:docPr id="2" name="图片 2" descr="发起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发起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92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192" w:after="192"/>
        <w:jc w:val="left"/>
        <w:rPr>
          <w:rFonts w:hint="eastAsia" w:ascii="微软雅黑" w:hAnsi="微软雅黑" w:eastAsia="微软雅黑" w:cs="微软雅黑"/>
          <w:color w:val="333333"/>
          <w:kern w:val="0"/>
          <w:sz w:val="28"/>
          <w:szCs w:val="28"/>
        </w:rPr>
      </w:pPr>
      <w:r>
        <w:rPr>
          <w:rFonts w:hint="eastAsia" w:ascii="微软雅黑" w:hAnsi="微软雅黑" w:eastAsia="微软雅黑" w:cs="微软雅黑"/>
          <w:color w:val="333333"/>
          <w:kern w:val="0"/>
          <w:sz w:val="28"/>
          <w:szCs w:val="28"/>
        </w:rPr>
        <w:t>通过采购计划选择需要竞价的物料后发起竞价，完整填写竞价信息后提交，提交成功即</w:t>
      </w: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28"/>
          <w:szCs w:val="28"/>
        </w:rPr>
        <w:t>竞价发起成功</w:t>
      </w:r>
      <w:r>
        <w:rPr>
          <w:rFonts w:hint="eastAsia" w:ascii="微软雅黑" w:hAnsi="微软雅黑" w:eastAsia="微软雅黑" w:cs="微软雅黑"/>
          <w:color w:val="333333"/>
          <w:kern w:val="0"/>
          <w:sz w:val="28"/>
          <w:szCs w:val="28"/>
        </w:rPr>
        <w:t>。</w:t>
      </w:r>
    </w:p>
    <w:p>
      <w:pPr>
        <w:widowControl/>
        <w:shd w:val="clear" w:color="auto" w:fill="FFFFFF"/>
        <w:spacing w:before="192" w:after="192"/>
        <w:jc w:val="left"/>
        <w:rPr>
          <w:rFonts w:hint="eastAsia" w:ascii="微软雅黑" w:hAnsi="微软雅黑" w:eastAsia="微软雅黑" w:cs="微软雅黑"/>
          <w:color w:val="333333"/>
          <w:kern w:val="0"/>
          <w:sz w:val="28"/>
          <w:szCs w:val="28"/>
        </w:rPr>
      </w:pPr>
      <w:r>
        <w:rPr>
          <w:rFonts w:hint="eastAsia" w:ascii="微软雅黑" w:hAnsi="微软雅黑" w:eastAsia="微软雅黑" w:cs="微软雅黑"/>
          <w:color w:val="333333"/>
          <w:kern w:val="0"/>
          <w:sz w:val="28"/>
          <w:szCs w:val="28"/>
        </w:rPr>
        <w:drawing>
          <wp:inline distT="0" distB="0" distL="0" distR="0">
            <wp:extent cx="5274945" cy="6052820"/>
            <wp:effectExtent l="0" t="0" r="1905" b="5080"/>
            <wp:docPr id="12" name="图片 12" descr="发起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发起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605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192" w:after="192"/>
        <w:jc w:val="left"/>
        <w:rPr>
          <w:rFonts w:hint="eastAsia" w:ascii="微软雅黑" w:hAnsi="微软雅黑" w:eastAsia="微软雅黑" w:cs="微软雅黑"/>
          <w:color w:val="333333"/>
          <w:kern w:val="0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color w:val="333333"/>
          <w:kern w:val="0"/>
          <w:sz w:val="28"/>
          <w:szCs w:val="28"/>
          <w:lang w:eastAsia="zh-CN"/>
        </w:rPr>
        <w:t>竞价发起成功后，即可等待供应商参与报价。</w:t>
      </w:r>
    </w:p>
    <w:p>
      <w:pPr>
        <w:pStyle w:val="10"/>
        <w:widowControl/>
        <w:numPr>
          <w:ilvl w:val="0"/>
          <w:numId w:val="0"/>
        </w:numPr>
        <w:shd w:val="clear" w:color="auto" w:fill="FFFFFF"/>
        <w:spacing w:before="100" w:beforeAutospacing="1" w:after="100" w:afterAutospacing="1"/>
        <w:ind w:leftChars="0"/>
        <w:jc w:val="left"/>
        <w:outlineLvl w:val="4"/>
        <w:rPr>
          <w:rFonts w:hint="eastAsia" w:ascii="微软雅黑" w:hAnsi="微软雅黑" w:eastAsia="微软雅黑" w:cs="微软雅黑"/>
          <w:b/>
          <w:bCs/>
          <w:color w:val="333333"/>
          <w:kern w:val="0"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32"/>
          <w:szCs w:val="32"/>
          <w:lang w:eastAsia="zh-CN"/>
        </w:rPr>
        <w:t>三、</w:t>
      </w: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32"/>
          <w:szCs w:val="32"/>
        </w:rPr>
        <w:t>集采</w:t>
      </w: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32"/>
          <w:szCs w:val="32"/>
          <w:lang w:eastAsia="zh-CN"/>
        </w:rPr>
        <w:t>企业</w:t>
      </w: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32"/>
          <w:szCs w:val="32"/>
        </w:rPr>
        <w:t>--采购人员</w:t>
      </w: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32"/>
          <w:szCs w:val="32"/>
          <w:lang w:eastAsia="zh-CN"/>
        </w:rPr>
        <w:t>：</w:t>
      </w: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32"/>
          <w:szCs w:val="32"/>
        </w:rPr>
        <w:t>设置中标企业</w:t>
      </w:r>
    </w:p>
    <w:p>
      <w:pPr>
        <w:widowControl/>
        <w:shd w:val="clear" w:color="auto" w:fill="FFFFFF"/>
        <w:spacing w:before="192" w:after="192"/>
        <w:jc w:val="left"/>
        <w:rPr>
          <w:rFonts w:hint="eastAsia" w:ascii="微软雅黑" w:hAnsi="微软雅黑" w:eastAsia="微软雅黑" w:cs="微软雅黑"/>
          <w:color w:val="333333"/>
          <w:kern w:val="0"/>
          <w:sz w:val="28"/>
          <w:szCs w:val="28"/>
        </w:rPr>
      </w:pPr>
      <w:r>
        <w:rPr>
          <w:rFonts w:hint="eastAsia" w:ascii="微软雅黑" w:hAnsi="微软雅黑" w:eastAsia="微软雅黑" w:cs="微软雅黑"/>
          <w:color w:val="333333"/>
          <w:kern w:val="0"/>
          <w:sz w:val="28"/>
          <w:szCs w:val="28"/>
        </w:rPr>
        <w:t>供应商</w:t>
      </w:r>
      <w:r>
        <w:rPr>
          <w:rFonts w:hint="eastAsia" w:ascii="微软雅黑" w:hAnsi="微软雅黑" w:eastAsia="微软雅黑" w:cs="微软雅黑"/>
          <w:color w:val="333333"/>
          <w:kern w:val="0"/>
          <w:sz w:val="28"/>
          <w:szCs w:val="28"/>
          <w:lang w:eastAsia="zh-CN"/>
        </w:rPr>
        <w:t>参与</w:t>
      </w:r>
      <w:r>
        <w:rPr>
          <w:rFonts w:hint="eastAsia" w:ascii="微软雅黑" w:hAnsi="微软雅黑" w:eastAsia="微软雅黑" w:cs="微软雅黑"/>
          <w:color w:val="333333"/>
          <w:kern w:val="0"/>
          <w:sz w:val="28"/>
          <w:szCs w:val="28"/>
        </w:rPr>
        <w:t>报价结束后，集采</w:t>
      </w:r>
      <w:r>
        <w:rPr>
          <w:rFonts w:hint="eastAsia" w:ascii="微软雅黑" w:hAnsi="微软雅黑" w:eastAsia="微软雅黑" w:cs="微软雅黑"/>
          <w:color w:val="333333"/>
          <w:kern w:val="0"/>
          <w:sz w:val="28"/>
          <w:szCs w:val="28"/>
          <w:lang w:eastAsia="zh-CN"/>
        </w:rPr>
        <w:t>企业</w:t>
      </w:r>
      <w:r>
        <w:rPr>
          <w:rFonts w:hint="eastAsia" w:ascii="微软雅黑" w:hAnsi="微软雅黑" w:eastAsia="微软雅黑" w:cs="微软雅黑"/>
          <w:color w:val="333333"/>
          <w:kern w:val="0"/>
          <w:sz w:val="28"/>
          <w:szCs w:val="28"/>
          <w:lang w:val="en-US" w:eastAsia="zh-CN"/>
        </w:rPr>
        <w:t>--</w:t>
      </w:r>
      <w:r>
        <w:rPr>
          <w:rFonts w:hint="eastAsia" w:ascii="微软雅黑" w:hAnsi="微软雅黑" w:eastAsia="微软雅黑" w:cs="微软雅黑"/>
          <w:color w:val="333333"/>
          <w:kern w:val="0"/>
          <w:sz w:val="28"/>
          <w:szCs w:val="28"/>
        </w:rPr>
        <w:t>采购人员可以</w:t>
      </w:r>
      <w:r>
        <w:rPr>
          <w:rFonts w:hint="eastAsia" w:ascii="微软雅黑" w:hAnsi="微软雅黑" w:eastAsia="微软雅黑" w:cs="微软雅黑"/>
          <w:color w:val="333333"/>
          <w:kern w:val="0"/>
          <w:sz w:val="28"/>
          <w:szCs w:val="28"/>
          <w:lang w:eastAsia="zh-CN"/>
        </w:rPr>
        <w:t>点击</w:t>
      </w: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28"/>
          <w:szCs w:val="28"/>
          <w:lang w:eastAsia="zh-CN"/>
        </w:rPr>
        <w:t>“竞价管理”</w:t>
      </w:r>
      <w:r>
        <w:rPr>
          <w:rFonts w:hint="eastAsia" w:ascii="微软雅黑" w:hAnsi="微软雅黑" w:eastAsia="微软雅黑" w:cs="微软雅黑"/>
          <w:color w:val="333333"/>
          <w:kern w:val="0"/>
          <w:sz w:val="28"/>
          <w:szCs w:val="28"/>
          <w:lang w:eastAsia="zh-CN"/>
        </w:rPr>
        <w:t>在竞价列表中找到之前所发起的竞价物料项，点击右侧</w:t>
      </w: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28"/>
          <w:szCs w:val="28"/>
          <w:lang w:eastAsia="zh-CN"/>
        </w:rPr>
        <w:t>“设置竞价结果”</w:t>
      </w:r>
      <w:r>
        <w:rPr>
          <w:rFonts w:hint="eastAsia" w:ascii="微软雅黑" w:hAnsi="微软雅黑" w:eastAsia="微软雅黑" w:cs="微软雅黑"/>
          <w:color w:val="333333"/>
          <w:kern w:val="0"/>
          <w:sz w:val="28"/>
          <w:szCs w:val="28"/>
          <w:lang w:eastAsia="zh-CN"/>
        </w:rPr>
        <w:t>并</w:t>
      </w:r>
      <w:r>
        <w:rPr>
          <w:rFonts w:hint="eastAsia" w:ascii="微软雅黑" w:hAnsi="微软雅黑" w:eastAsia="微软雅黑" w:cs="微软雅黑"/>
          <w:color w:val="333333"/>
          <w:kern w:val="0"/>
          <w:sz w:val="28"/>
          <w:szCs w:val="28"/>
        </w:rPr>
        <w:t>依据供应商报价信息设置中标企业。</w:t>
      </w:r>
    </w:p>
    <w:p>
      <w:pPr>
        <w:widowControl/>
        <w:shd w:val="clear" w:color="auto" w:fill="FFFFFF"/>
        <w:spacing w:before="192" w:after="192"/>
        <w:jc w:val="left"/>
        <w:rPr>
          <w:rFonts w:hint="eastAsia" w:ascii="微软雅黑" w:hAnsi="微软雅黑" w:eastAsia="微软雅黑" w:cs="微软雅黑"/>
          <w:color w:val="333333"/>
          <w:kern w:val="0"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28"/>
          <w:szCs w:val="28"/>
          <w:lang w:eastAsia="zh-CN"/>
        </w:rPr>
        <w:t>备注：在竞价开标时间未到前，</w:t>
      </w:r>
      <w:r>
        <w:rPr>
          <w:rFonts w:hint="eastAsia" w:ascii="微软雅黑" w:hAnsi="微软雅黑" w:eastAsia="微软雅黑" w:cs="微软雅黑"/>
          <w:color w:val="333333"/>
          <w:kern w:val="0"/>
          <w:sz w:val="28"/>
          <w:szCs w:val="28"/>
          <w:lang w:eastAsia="zh-CN"/>
        </w:rPr>
        <w:t>集采方</w:t>
      </w:r>
      <w:r>
        <w:rPr>
          <w:rFonts w:hint="eastAsia" w:ascii="微软雅黑" w:hAnsi="微软雅黑" w:eastAsia="微软雅黑" w:cs="微软雅黑"/>
          <w:color w:val="333333"/>
          <w:kern w:val="0"/>
          <w:sz w:val="28"/>
          <w:szCs w:val="28"/>
          <w:lang w:val="en-US" w:eastAsia="zh-CN"/>
        </w:rPr>
        <w:t>--采购人员可继续添加或邀请供应商参与报价，但同时</w:t>
      </w:r>
      <w:r>
        <w:rPr>
          <w:rFonts w:hint="eastAsia" w:ascii="微软雅黑" w:hAnsi="微软雅黑" w:eastAsia="微软雅黑" w:cs="微软雅黑"/>
          <w:color w:val="333333"/>
          <w:kern w:val="0"/>
          <w:sz w:val="28"/>
          <w:szCs w:val="28"/>
          <w:lang w:eastAsia="zh-CN"/>
        </w:rPr>
        <w:t>也无法查看已报价供应商价格，以确保公正公平。</w:t>
      </w:r>
    </w:p>
    <w:p>
      <w:pPr>
        <w:widowControl/>
        <w:shd w:val="clear" w:color="auto" w:fill="FFFFFF"/>
        <w:spacing w:before="192" w:after="192"/>
        <w:jc w:val="left"/>
        <w:rPr>
          <w:rFonts w:hint="eastAsia" w:ascii="微软雅黑" w:hAnsi="微软雅黑" w:eastAsia="微软雅黑" w:cs="微软雅黑"/>
          <w:color w:val="333333"/>
          <w:kern w:val="0"/>
          <w:sz w:val="28"/>
          <w:szCs w:val="28"/>
        </w:rPr>
      </w:pPr>
      <w:r>
        <w:rPr>
          <w:rFonts w:hint="eastAsia" w:ascii="微软雅黑" w:hAnsi="微软雅黑" w:eastAsia="微软雅黑" w:cs="微软雅黑"/>
          <w:color w:val="333333"/>
          <w:kern w:val="0"/>
          <w:sz w:val="28"/>
          <w:szCs w:val="28"/>
        </w:rPr>
        <w:drawing>
          <wp:inline distT="0" distB="0" distL="0" distR="0">
            <wp:extent cx="5274945" cy="3834765"/>
            <wp:effectExtent l="0" t="0" r="1905" b="13335"/>
            <wp:docPr id="16" name="图片 16" descr="比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比价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383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192" w:after="192"/>
        <w:jc w:val="left"/>
        <w:rPr>
          <w:rFonts w:hint="eastAsia" w:ascii="微软雅黑" w:hAnsi="微软雅黑" w:eastAsia="微软雅黑" w:cs="微软雅黑"/>
          <w:color w:val="333333"/>
          <w:kern w:val="0"/>
          <w:sz w:val="28"/>
          <w:szCs w:val="28"/>
        </w:rPr>
      </w:pPr>
      <w:r>
        <w:rPr>
          <w:rFonts w:hint="eastAsia" w:ascii="微软雅黑" w:hAnsi="微软雅黑" w:eastAsia="微软雅黑" w:cs="微软雅黑"/>
          <w:color w:val="333333"/>
          <w:kern w:val="0"/>
          <w:sz w:val="28"/>
          <w:szCs w:val="28"/>
          <w:lang w:eastAsia="zh-CN"/>
        </w:rPr>
        <w:t>竞价开标时间结束后，</w:t>
      </w: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28"/>
          <w:szCs w:val="28"/>
        </w:rPr>
        <w:t>集采</w:t>
      </w: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28"/>
          <w:szCs w:val="28"/>
          <w:lang w:eastAsia="zh-CN"/>
        </w:rPr>
        <w:t>方</w:t>
      </w: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28"/>
          <w:szCs w:val="28"/>
        </w:rPr>
        <w:t>--采购人员</w:t>
      </w: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28"/>
          <w:szCs w:val="28"/>
          <w:lang w:eastAsia="zh-CN"/>
        </w:rPr>
        <w:t>：</w:t>
      </w:r>
      <w:r>
        <w:rPr>
          <w:rFonts w:hint="eastAsia" w:ascii="微软雅黑" w:hAnsi="微软雅黑" w:eastAsia="微软雅黑" w:cs="微软雅黑"/>
          <w:b w:val="0"/>
          <w:bCs w:val="0"/>
          <w:color w:val="333333"/>
          <w:kern w:val="0"/>
          <w:sz w:val="28"/>
          <w:szCs w:val="28"/>
          <w:lang w:eastAsia="zh-CN"/>
        </w:rPr>
        <w:t>可以查看</w:t>
      </w:r>
      <w:r>
        <w:rPr>
          <w:rFonts w:hint="eastAsia" w:ascii="微软雅黑" w:hAnsi="微软雅黑" w:eastAsia="微软雅黑" w:cs="微软雅黑"/>
          <w:color w:val="333333"/>
          <w:kern w:val="0"/>
          <w:sz w:val="28"/>
          <w:szCs w:val="28"/>
          <w:lang w:eastAsia="zh-CN"/>
        </w:rPr>
        <w:t>已报价供应商价格等，同时可以设置相应的“中标企业”。</w:t>
      </w:r>
    </w:p>
    <w:p>
      <w:pPr>
        <w:widowControl/>
        <w:shd w:val="clear" w:color="auto" w:fill="FFFFFF"/>
        <w:spacing w:before="192" w:after="192"/>
        <w:jc w:val="left"/>
        <w:rPr>
          <w:rFonts w:hint="eastAsia" w:ascii="微软雅黑" w:hAnsi="微软雅黑" w:eastAsia="微软雅黑" w:cs="微软雅黑"/>
          <w:color w:val="333333"/>
          <w:kern w:val="0"/>
          <w:sz w:val="28"/>
          <w:szCs w:val="28"/>
        </w:rPr>
      </w:pPr>
      <w:r>
        <w:rPr>
          <w:rFonts w:hint="eastAsia" w:ascii="微软雅黑" w:hAnsi="微软雅黑" w:eastAsia="微软雅黑" w:cs="微软雅黑"/>
          <w:color w:val="333333"/>
          <w:kern w:val="0"/>
          <w:sz w:val="28"/>
          <w:szCs w:val="28"/>
        </w:rPr>
        <w:drawing>
          <wp:inline distT="0" distB="0" distL="0" distR="0">
            <wp:extent cx="5267960" cy="3548380"/>
            <wp:effectExtent l="0" t="0" r="8890" b="13970"/>
            <wp:docPr id="17" name="图片 17" descr="比价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比价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54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192" w:after="192"/>
        <w:jc w:val="left"/>
        <w:rPr>
          <w:rFonts w:hint="eastAsia" w:ascii="微软雅黑" w:hAnsi="微软雅黑" w:eastAsia="微软雅黑" w:cs="微软雅黑"/>
          <w:color w:val="333333"/>
          <w:kern w:val="0"/>
          <w:sz w:val="28"/>
          <w:szCs w:val="28"/>
          <w:lang w:eastAsia="zh-CN"/>
        </w:rPr>
      </w:pPr>
      <w:r>
        <w:rPr>
          <w:rFonts w:hint="eastAsia" w:ascii="微软雅黑" w:hAnsi="微软雅黑" w:eastAsia="微软雅黑" w:cs="微软雅黑"/>
          <w:color w:val="333333"/>
          <w:kern w:val="0"/>
          <w:sz w:val="28"/>
          <w:szCs w:val="28"/>
        </w:rPr>
        <w:t>设置完成后</w:t>
      </w:r>
      <w:r>
        <w:rPr>
          <w:rFonts w:hint="eastAsia" w:ascii="微软雅黑" w:hAnsi="微软雅黑" w:eastAsia="微软雅黑" w:cs="微软雅黑"/>
          <w:color w:val="333333"/>
          <w:kern w:val="0"/>
          <w:sz w:val="28"/>
          <w:szCs w:val="28"/>
          <w:lang w:eastAsia="zh-CN"/>
        </w:rPr>
        <w:t>的结果系统也会立即同步到下属企业，此时下属企业可根据自身需求向供应商发起购买（下单、发送货、对账）等流程。</w:t>
      </w:r>
    </w:p>
    <w:p>
      <w:pPr>
        <w:pStyle w:val="10"/>
        <w:widowControl/>
        <w:numPr>
          <w:ilvl w:val="0"/>
          <w:numId w:val="0"/>
        </w:numPr>
        <w:shd w:val="clear" w:color="auto" w:fill="FFFFFF"/>
        <w:spacing w:before="100" w:beforeAutospacing="1" w:after="100" w:afterAutospacing="1"/>
        <w:ind w:leftChars="0"/>
        <w:jc w:val="left"/>
        <w:outlineLvl w:val="4"/>
        <w:rPr>
          <w:rFonts w:hint="eastAsia" w:ascii="微软雅黑" w:hAnsi="微软雅黑" w:eastAsia="微软雅黑" w:cs="微软雅黑"/>
          <w:b/>
          <w:bCs/>
          <w:color w:val="333333"/>
          <w:kern w:val="0"/>
          <w:sz w:val="32"/>
          <w:szCs w:val="32"/>
        </w:rPr>
      </w:pP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32"/>
          <w:szCs w:val="32"/>
          <w:lang w:eastAsia="zh-CN"/>
        </w:rPr>
        <w:t>四、</w:t>
      </w: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32"/>
          <w:szCs w:val="32"/>
        </w:rPr>
        <w:t>集采方--采购人员</w:t>
      </w: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32"/>
          <w:szCs w:val="32"/>
          <w:lang w:eastAsia="zh-CN"/>
        </w:rPr>
        <w:t>：</w:t>
      </w: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32"/>
          <w:szCs w:val="32"/>
        </w:rPr>
        <w:t>发起挂账</w:t>
      </w:r>
      <w:r>
        <w:rPr>
          <w:rFonts w:hint="eastAsia" w:ascii="微软雅黑" w:hAnsi="微软雅黑" w:eastAsia="微软雅黑" w:cs="微软雅黑"/>
          <w:b/>
          <w:bCs/>
          <w:color w:val="C00000"/>
          <w:kern w:val="0"/>
          <w:sz w:val="32"/>
          <w:szCs w:val="32"/>
          <w:lang w:eastAsia="zh-CN"/>
        </w:rPr>
        <w:t>（下属企业）</w:t>
      </w:r>
    </w:p>
    <w:p>
      <w:pPr>
        <w:widowControl/>
        <w:shd w:val="clear" w:color="auto" w:fill="FFFFFF"/>
        <w:spacing w:before="192" w:after="192"/>
        <w:jc w:val="left"/>
        <w:rPr>
          <w:rFonts w:hint="eastAsia" w:ascii="微软雅黑" w:hAnsi="微软雅黑" w:eastAsia="微软雅黑" w:cs="微软雅黑"/>
          <w:sz w:val="28"/>
          <w:szCs w:val="28"/>
          <w:lang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当下属企业与供应商完成前期的订单、账单流程后，</w:t>
      </w:r>
      <w:r>
        <w:rPr>
          <w:rFonts w:hint="eastAsia" w:ascii="微软雅黑" w:hAnsi="微软雅黑" w:eastAsia="微软雅黑" w:cs="微软雅黑"/>
          <w:sz w:val="28"/>
          <w:szCs w:val="28"/>
        </w:rPr>
        <w:t>付款方</w:t>
      </w:r>
      <w:r>
        <w:rPr>
          <w:rFonts w:hint="eastAsia" w:ascii="微软雅黑" w:hAnsi="微软雅黑" w:eastAsia="微软雅黑" w:cs="微软雅黑"/>
          <w:sz w:val="28"/>
          <w:szCs w:val="28"/>
          <w:lang w:eastAsia="zh-CN"/>
        </w:rPr>
        <w:t>（买家</w:t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-下属企业</w:t>
      </w:r>
      <w:r>
        <w:rPr>
          <w:rFonts w:hint="eastAsia" w:ascii="微软雅黑" w:hAnsi="微软雅黑" w:eastAsia="微软雅黑" w:cs="微软雅黑"/>
          <w:sz w:val="28"/>
          <w:szCs w:val="28"/>
          <w:lang w:eastAsia="zh-CN"/>
        </w:rPr>
        <w:t>）</w:t>
      </w:r>
      <w:r>
        <w:rPr>
          <w:rFonts w:hint="eastAsia" w:ascii="微软雅黑" w:hAnsi="微软雅黑" w:eastAsia="微软雅黑" w:cs="微软雅黑"/>
          <w:sz w:val="28"/>
          <w:szCs w:val="28"/>
        </w:rPr>
        <w:t>完成账单确认</w:t>
      </w:r>
      <w:r>
        <w:rPr>
          <w:rFonts w:hint="eastAsia" w:ascii="微软雅黑" w:hAnsi="微软雅黑" w:eastAsia="微软雅黑" w:cs="微软雅黑"/>
          <w:sz w:val="28"/>
          <w:szCs w:val="28"/>
          <w:lang w:eastAsia="zh-CN"/>
        </w:rPr>
        <w:t>。此时“集采方</w:t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--采购人员”</w:t>
      </w:r>
      <w:r>
        <w:rPr>
          <w:rFonts w:hint="eastAsia" w:ascii="微软雅黑" w:hAnsi="微软雅黑" w:eastAsia="微软雅黑" w:cs="微软雅黑"/>
          <w:sz w:val="28"/>
          <w:szCs w:val="28"/>
        </w:rPr>
        <w:t>需要</w:t>
      </w:r>
      <w:r>
        <w:rPr>
          <w:rFonts w:hint="eastAsia" w:ascii="微软雅黑" w:hAnsi="微软雅黑" w:eastAsia="微软雅黑" w:cs="微软雅黑"/>
          <w:sz w:val="28"/>
          <w:szCs w:val="28"/>
          <w:lang w:eastAsia="zh-CN"/>
        </w:rPr>
        <w:t>点击</w:t>
      </w:r>
      <w:r>
        <w:rPr>
          <w:rFonts w:hint="eastAsia" w:ascii="微软雅黑" w:hAnsi="微软雅黑" w:eastAsia="微软雅黑" w:cs="微软雅黑"/>
          <w:b/>
          <w:bCs/>
          <w:sz w:val="28"/>
          <w:szCs w:val="28"/>
          <w:lang w:eastAsia="zh-CN"/>
        </w:rPr>
        <w:t>“账单管理”</w:t>
      </w:r>
      <w:r>
        <w:rPr>
          <w:rFonts w:hint="eastAsia" w:ascii="微软雅黑" w:hAnsi="微软雅黑" w:eastAsia="微软雅黑" w:cs="微软雅黑"/>
          <w:sz w:val="28"/>
          <w:szCs w:val="28"/>
          <w:lang w:eastAsia="zh-CN"/>
        </w:rPr>
        <w:t>找到所对应的账单列表项后点击右侧的</w:t>
      </w:r>
      <w:r>
        <w:rPr>
          <w:rFonts w:hint="eastAsia" w:ascii="微软雅黑" w:hAnsi="微软雅黑" w:eastAsia="微软雅黑" w:cs="微软雅黑"/>
          <w:b/>
          <w:bCs/>
          <w:sz w:val="28"/>
          <w:szCs w:val="28"/>
          <w:lang w:eastAsia="zh-CN"/>
        </w:rPr>
        <w:t>“发起挂账”</w:t>
      </w:r>
      <w:r>
        <w:rPr>
          <w:rFonts w:hint="eastAsia" w:ascii="微软雅黑" w:hAnsi="微软雅黑" w:eastAsia="微软雅黑" w:cs="微软雅黑"/>
          <w:sz w:val="28"/>
          <w:szCs w:val="28"/>
          <w:lang w:eastAsia="zh-CN"/>
        </w:rPr>
        <w:t>按钮，准备发起挂账。</w:t>
      </w:r>
    </w:p>
    <w:p>
      <w:pPr>
        <w:widowControl/>
        <w:shd w:val="clear" w:color="auto" w:fill="FFFFFF"/>
        <w:spacing w:before="192" w:after="192"/>
        <w:jc w:val="left"/>
        <w:rPr>
          <w:rFonts w:hint="eastAsia" w:ascii="微软雅黑" w:hAnsi="微软雅黑" w:eastAsia="微软雅黑" w:cs="微软雅黑"/>
          <w:sz w:val="28"/>
          <w:szCs w:val="28"/>
          <w:lang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w:drawing>
          <wp:inline distT="0" distB="0" distL="114300" distR="114300">
            <wp:extent cx="5269865" cy="2205355"/>
            <wp:effectExtent l="0" t="0" r="6985" b="4445"/>
            <wp:docPr id="1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2053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192" w:after="192"/>
        <w:jc w:val="both"/>
        <w:rPr>
          <w:rFonts w:hint="eastAsia" w:ascii="微软雅黑" w:hAnsi="微软雅黑" w:eastAsia="微软雅黑" w:cs="微软雅黑"/>
          <w:color w:val="333333"/>
          <w:kern w:val="0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  <w:lang w:eastAsia="zh-CN"/>
        </w:rPr>
        <w:t>在账单详细信息页面中，</w:t>
      </w:r>
      <w:r>
        <w:rPr>
          <w:rFonts w:hint="eastAsia" w:ascii="微软雅黑" w:hAnsi="微软雅黑" w:eastAsia="微软雅黑" w:cs="微软雅黑"/>
          <w:sz w:val="28"/>
          <w:szCs w:val="28"/>
        </w:rPr>
        <w:t>确认账单信息，</w:t>
      </w:r>
      <w:r>
        <w:rPr>
          <w:rFonts w:hint="eastAsia" w:ascii="微软雅黑" w:hAnsi="微软雅黑" w:eastAsia="微软雅黑" w:cs="微软雅黑"/>
          <w:sz w:val="28"/>
          <w:szCs w:val="28"/>
          <w:lang w:eastAsia="zh-CN"/>
        </w:rPr>
        <w:t>并</w:t>
      </w:r>
      <w:r>
        <w:rPr>
          <w:rFonts w:hint="eastAsia" w:ascii="微软雅黑" w:hAnsi="微软雅黑" w:eastAsia="微软雅黑" w:cs="微软雅黑"/>
          <w:sz w:val="28"/>
          <w:szCs w:val="28"/>
        </w:rPr>
        <w:t>点击</w:t>
      </w:r>
      <w:r>
        <w:rPr>
          <w:rFonts w:hint="eastAsia" w:ascii="微软雅黑" w:hAnsi="微软雅黑" w:eastAsia="微软雅黑" w:cs="微软雅黑"/>
          <w:b/>
          <w:sz w:val="28"/>
          <w:szCs w:val="28"/>
        </w:rPr>
        <w:t>发起挂账</w:t>
      </w:r>
      <w:r>
        <w:rPr>
          <w:rFonts w:hint="eastAsia" w:ascii="微软雅黑" w:hAnsi="微软雅黑" w:eastAsia="微软雅黑" w:cs="微软雅黑"/>
          <w:sz w:val="28"/>
          <w:szCs w:val="28"/>
        </w:rPr>
        <w:t>按钮。</w:t>
      </w:r>
    </w:p>
    <w:p>
      <w:pPr>
        <w:widowControl/>
        <w:shd w:val="clear" w:color="auto" w:fill="FFFFFF"/>
        <w:spacing w:before="192" w:after="192"/>
        <w:jc w:val="left"/>
        <w:rPr>
          <w:rFonts w:hint="eastAsia"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w:drawing>
          <wp:inline distT="0" distB="0" distL="114300" distR="114300">
            <wp:extent cx="5265420" cy="2476500"/>
            <wp:effectExtent l="0" t="0" r="11430" b="0"/>
            <wp:docPr id="1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192" w:after="192"/>
        <w:jc w:val="left"/>
        <w:rPr>
          <w:rFonts w:hint="eastAsia" w:ascii="微软雅黑" w:hAnsi="微软雅黑" w:eastAsia="微软雅黑" w:cs="微软雅黑"/>
          <w:sz w:val="28"/>
          <w:szCs w:val="28"/>
          <w:lang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eastAsia="zh-CN"/>
        </w:rPr>
        <w:t>发起挂账提交后，此时系统会自动把挂账信息提交至”财务中心</w:t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--挂账管理</w:t>
      </w:r>
      <w:r>
        <w:rPr>
          <w:rFonts w:hint="eastAsia" w:ascii="微软雅黑" w:hAnsi="微软雅黑" w:eastAsia="微软雅黑" w:cs="微软雅黑"/>
          <w:sz w:val="28"/>
          <w:szCs w:val="28"/>
          <w:lang w:eastAsia="zh-CN"/>
        </w:rPr>
        <w:t>“等待财务进行确认。</w:t>
      </w:r>
    </w:p>
    <w:p>
      <w:pPr>
        <w:pStyle w:val="10"/>
        <w:widowControl/>
        <w:numPr>
          <w:ilvl w:val="0"/>
          <w:numId w:val="0"/>
        </w:numPr>
        <w:shd w:val="clear" w:color="auto" w:fill="FFFFFF"/>
        <w:spacing w:before="100" w:beforeAutospacing="1" w:after="100" w:afterAutospacing="1"/>
        <w:ind w:leftChars="0"/>
        <w:jc w:val="left"/>
        <w:outlineLvl w:val="4"/>
        <w:rPr>
          <w:rFonts w:hint="eastAsia" w:ascii="微软雅黑" w:hAnsi="微软雅黑" w:eastAsia="微软雅黑" w:cs="微软雅黑"/>
          <w:b/>
          <w:bCs/>
          <w:color w:val="333333"/>
          <w:kern w:val="0"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32"/>
          <w:szCs w:val="32"/>
          <w:lang w:eastAsia="zh-CN"/>
        </w:rPr>
        <w:t>五、</w:t>
      </w: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32"/>
          <w:szCs w:val="32"/>
        </w:rPr>
        <w:t>集采方--财务</w:t>
      </w: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32"/>
          <w:szCs w:val="32"/>
          <w:lang w:eastAsia="zh-CN"/>
        </w:rPr>
        <w:t>：</w:t>
      </w: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32"/>
          <w:szCs w:val="32"/>
        </w:rPr>
        <w:t>确认挂账</w:t>
      </w:r>
      <w:r>
        <w:rPr>
          <w:rFonts w:hint="eastAsia" w:ascii="微软雅黑" w:hAnsi="微软雅黑" w:eastAsia="微软雅黑" w:cs="微软雅黑"/>
          <w:b/>
          <w:bCs/>
          <w:color w:val="C00000"/>
          <w:kern w:val="0"/>
          <w:sz w:val="32"/>
          <w:szCs w:val="32"/>
          <w:lang w:eastAsia="zh-CN"/>
        </w:rPr>
        <w:t>（下属企业）</w:t>
      </w:r>
    </w:p>
    <w:p>
      <w:pPr>
        <w:widowControl/>
        <w:shd w:val="clear" w:color="auto" w:fill="FFFFFF"/>
        <w:spacing w:before="192" w:after="192"/>
        <w:jc w:val="left"/>
        <w:rPr>
          <w:rFonts w:hint="eastAsia"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w:t>当</w:t>
      </w:r>
      <w:r>
        <w:rPr>
          <w:rFonts w:hint="eastAsia" w:ascii="微软雅黑" w:hAnsi="微软雅黑" w:eastAsia="微软雅黑" w:cs="微软雅黑"/>
          <w:sz w:val="28"/>
          <w:szCs w:val="28"/>
          <w:lang w:eastAsia="zh-CN"/>
        </w:rPr>
        <w:t>集采方</w:t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--采购人员</w:t>
      </w:r>
      <w:r>
        <w:rPr>
          <w:rFonts w:hint="eastAsia" w:ascii="微软雅黑" w:hAnsi="微软雅黑" w:eastAsia="微软雅黑" w:cs="微软雅黑"/>
          <w:sz w:val="28"/>
          <w:szCs w:val="28"/>
        </w:rPr>
        <w:t>发起挂账</w:t>
      </w:r>
      <w:r>
        <w:rPr>
          <w:rFonts w:hint="eastAsia" w:ascii="微软雅黑" w:hAnsi="微软雅黑" w:eastAsia="微软雅黑" w:cs="微软雅黑"/>
          <w:sz w:val="28"/>
          <w:szCs w:val="28"/>
          <w:lang w:eastAsia="zh-CN"/>
        </w:rPr>
        <w:t>后</w:t>
      </w:r>
      <w:r>
        <w:rPr>
          <w:rFonts w:hint="eastAsia" w:ascii="微软雅黑" w:hAnsi="微软雅黑" w:eastAsia="微软雅黑" w:cs="微软雅黑"/>
          <w:sz w:val="28"/>
          <w:szCs w:val="28"/>
        </w:rPr>
        <w:t>，</w:t>
      </w:r>
      <w:r>
        <w:rPr>
          <w:rFonts w:hint="eastAsia" w:ascii="微软雅黑" w:hAnsi="微软雅黑" w:eastAsia="微软雅黑" w:cs="微软雅黑"/>
          <w:sz w:val="28"/>
          <w:szCs w:val="28"/>
          <w:lang w:eastAsia="zh-CN"/>
        </w:rPr>
        <w:t>集采方</w:t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--财务可在</w:t>
      </w: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“</w:t>
      </w:r>
      <w:r>
        <w:rPr>
          <w:rFonts w:hint="eastAsia" w:ascii="微软雅黑" w:hAnsi="微软雅黑" w:eastAsia="微软雅黑" w:cs="微软雅黑"/>
          <w:b/>
          <w:bCs/>
          <w:sz w:val="28"/>
          <w:szCs w:val="28"/>
          <w:lang w:eastAsia="zh-CN"/>
        </w:rPr>
        <w:t>财务中心</w:t>
      </w: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--挂账管理</w:t>
      </w:r>
      <w:r>
        <w:rPr>
          <w:rFonts w:hint="eastAsia" w:ascii="微软雅黑" w:hAnsi="微软雅黑" w:eastAsia="微软雅黑" w:cs="微软雅黑"/>
          <w:b/>
          <w:bCs/>
          <w:sz w:val="28"/>
          <w:szCs w:val="28"/>
          <w:lang w:eastAsia="zh-CN"/>
        </w:rPr>
        <w:t>”</w:t>
      </w:r>
      <w:r>
        <w:rPr>
          <w:rFonts w:hint="eastAsia" w:ascii="微软雅黑" w:hAnsi="微软雅黑" w:eastAsia="微软雅黑" w:cs="微软雅黑"/>
          <w:sz w:val="28"/>
          <w:szCs w:val="28"/>
          <w:lang w:eastAsia="zh-CN"/>
        </w:rPr>
        <w:t>中查看并</w:t>
      </w:r>
      <w:r>
        <w:rPr>
          <w:rFonts w:hint="eastAsia" w:ascii="微软雅黑" w:hAnsi="微软雅黑" w:eastAsia="微软雅黑" w:cs="微软雅黑"/>
          <w:sz w:val="28"/>
          <w:szCs w:val="28"/>
        </w:rPr>
        <w:t>选择</w:t>
      </w:r>
      <w:r>
        <w:rPr>
          <w:rFonts w:hint="eastAsia" w:ascii="微软雅黑" w:hAnsi="微软雅黑" w:eastAsia="微软雅黑" w:cs="微软雅黑"/>
          <w:b/>
          <w:bCs/>
          <w:sz w:val="28"/>
          <w:szCs w:val="28"/>
          <w:lang w:eastAsia="zh-CN"/>
        </w:rPr>
        <w:t>“</w:t>
      </w:r>
      <w:r>
        <w:rPr>
          <w:rFonts w:hint="eastAsia" w:ascii="微软雅黑" w:hAnsi="微软雅黑" w:eastAsia="微软雅黑" w:cs="微软雅黑"/>
          <w:b/>
          <w:bCs/>
          <w:sz w:val="28"/>
          <w:szCs w:val="28"/>
        </w:rPr>
        <w:t>等待确认挂账</w:t>
      </w:r>
      <w:r>
        <w:rPr>
          <w:rFonts w:hint="eastAsia" w:ascii="微软雅黑" w:hAnsi="微软雅黑" w:eastAsia="微软雅黑" w:cs="微软雅黑"/>
          <w:b/>
          <w:bCs/>
          <w:sz w:val="28"/>
          <w:szCs w:val="28"/>
          <w:lang w:eastAsia="zh-CN"/>
        </w:rPr>
        <w:t>”</w:t>
      </w:r>
      <w:r>
        <w:rPr>
          <w:rFonts w:hint="eastAsia" w:ascii="微软雅黑" w:hAnsi="微软雅黑" w:eastAsia="微软雅黑" w:cs="微软雅黑"/>
          <w:sz w:val="28"/>
          <w:szCs w:val="28"/>
        </w:rPr>
        <w:t>的账单，</w:t>
      </w:r>
      <w:r>
        <w:rPr>
          <w:rFonts w:hint="eastAsia" w:ascii="微软雅黑" w:hAnsi="微软雅黑" w:eastAsia="微软雅黑" w:cs="微软雅黑"/>
          <w:sz w:val="28"/>
          <w:szCs w:val="28"/>
          <w:lang w:eastAsia="zh-CN"/>
        </w:rPr>
        <w:t>点击最右侧的</w:t>
      </w:r>
      <w:r>
        <w:rPr>
          <w:rFonts w:hint="eastAsia" w:ascii="微软雅黑" w:hAnsi="微软雅黑" w:eastAsia="微软雅黑" w:cs="微软雅黑"/>
          <w:b/>
          <w:bCs/>
          <w:sz w:val="28"/>
          <w:szCs w:val="28"/>
          <w:lang w:eastAsia="zh-CN"/>
        </w:rPr>
        <w:t>“处理挂账”</w:t>
      </w:r>
      <w:r>
        <w:rPr>
          <w:rFonts w:hint="eastAsia" w:ascii="微软雅黑" w:hAnsi="微软雅黑" w:eastAsia="微软雅黑" w:cs="微软雅黑"/>
          <w:sz w:val="28"/>
          <w:szCs w:val="28"/>
          <w:lang w:eastAsia="zh-CN"/>
        </w:rPr>
        <w:t>按钮，进行挂账确认处理。</w:t>
      </w:r>
    </w:p>
    <w:p>
      <w:pPr>
        <w:widowControl/>
        <w:shd w:val="clear" w:color="auto" w:fill="FFFFFF"/>
        <w:spacing w:before="192" w:after="192"/>
        <w:jc w:val="left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114300" distR="114300">
            <wp:extent cx="5264150" cy="2542540"/>
            <wp:effectExtent l="0" t="0" r="12700" b="10160"/>
            <wp:docPr id="2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5425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192" w:after="192"/>
        <w:jc w:val="left"/>
        <w:rPr>
          <w:rFonts w:hint="eastAsia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  <w:lang w:eastAsia="zh-CN"/>
        </w:rPr>
        <w:t>进入账单详细信息页面后，</w:t>
      </w:r>
      <w:r>
        <w:rPr>
          <w:rFonts w:hint="eastAsia" w:ascii="微软雅黑" w:hAnsi="微软雅黑" w:eastAsia="微软雅黑" w:cs="微软雅黑"/>
          <w:sz w:val="28"/>
          <w:szCs w:val="28"/>
        </w:rPr>
        <w:t>确认账单信息无误，点击</w:t>
      </w:r>
      <w:r>
        <w:rPr>
          <w:rFonts w:hint="eastAsia" w:ascii="微软雅黑" w:hAnsi="微软雅黑" w:eastAsia="微软雅黑" w:cs="微软雅黑"/>
          <w:b/>
          <w:sz w:val="28"/>
          <w:szCs w:val="28"/>
        </w:rPr>
        <w:t>同意挂账</w:t>
      </w:r>
      <w:r>
        <w:rPr>
          <w:rFonts w:hint="eastAsia" w:ascii="微软雅黑" w:hAnsi="微软雅黑" w:eastAsia="微软雅黑" w:cs="微软雅黑"/>
          <w:sz w:val="28"/>
          <w:szCs w:val="28"/>
        </w:rPr>
        <w:t>按钮</w:t>
      </w:r>
      <w:r>
        <w:rPr>
          <w:rFonts w:hint="eastAsia" w:ascii="微软雅黑" w:hAnsi="微软雅黑" w:eastAsia="微软雅黑" w:cs="微软雅黑"/>
          <w:sz w:val="28"/>
          <w:szCs w:val="28"/>
          <w:lang w:eastAsia="zh-CN"/>
        </w:rPr>
        <w:t>，即挂账成功。</w:t>
      </w:r>
    </w:p>
    <w:p>
      <w:pPr>
        <w:widowControl/>
        <w:shd w:val="clear" w:color="auto" w:fill="FFFFFF"/>
        <w:spacing w:before="192" w:after="192"/>
        <w:jc w:val="left"/>
        <w:rPr>
          <w:rFonts w:hint="eastAsia" w:ascii="微软雅黑" w:hAnsi="微软雅黑" w:eastAsia="微软雅黑" w:cs="微软雅黑"/>
          <w:color w:val="333333"/>
          <w:kern w:val="0"/>
          <w:sz w:val="28"/>
          <w:szCs w:val="28"/>
        </w:rPr>
      </w:pPr>
      <w:r>
        <w:rPr>
          <w:sz w:val="28"/>
          <w:szCs w:val="28"/>
        </w:rPr>
        <w:drawing>
          <wp:inline distT="0" distB="0" distL="114300" distR="114300">
            <wp:extent cx="5266055" cy="2609850"/>
            <wp:effectExtent l="0" t="0" r="10795" b="0"/>
            <wp:docPr id="2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"/>
        <w:widowControl/>
        <w:numPr>
          <w:ilvl w:val="0"/>
          <w:numId w:val="0"/>
        </w:numPr>
        <w:shd w:val="clear" w:color="auto" w:fill="FFFFFF"/>
        <w:spacing w:before="100" w:beforeAutospacing="1" w:after="100" w:afterAutospacing="1"/>
        <w:ind w:leftChars="0"/>
        <w:jc w:val="left"/>
        <w:outlineLvl w:val="4"/>
        <w:rPr>
          <w:rFonts w:hint="eastAsia" w:ascii="微软雅黑" w:hAnsi="微软雅黑" w:eastAsia="微软雅黑" w:cs="微软雅黑"/>
          <w:b/>
          <w:bCs/>
          <w:color w:val="333333"/>
          <w:kern w:val="0"/>
          <w:sz w:val="28"/>
          <w:szCs w:val="28"/>
        </w:rPr>
      </w:pPr>
      <w:bookmarkStart w:id="0" w:name="header-c135"/>
      <w:bookmarkEnd w:id="0"/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32"/>
          <w:szCs w:val="32"/>
          <w:lang w:eastAsia="zh-CN"/>
        </w:rPr>
        <w:t>六、</w:t>
      </w: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32"/>
          <w:szCs w:val="32"/>
        </w:rPr>
        <w:t>集采方--财务</w:t>
      </w: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32"/>
          <w:szCs w:val="32"/>
          <w:lang w:eastAsia="zh-CN"/>
        </w:rPr>
        <w:t>：</w:t>
      </w: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32"/>
          <w:szCs w:val="32"/>
        </w:rPr>
        <w:t>申请付款</w:t>
      </w:r>
      <w:r>
        <w:rPr>
          <w:rFonts w:hint="eastAsia" w:ascii="微软雅黑" w:hAnsi="微软雅黑" w:eastAsia="微软雅黑" w:cs="微软雅黑"/>
          <w:b/>
          <w:bCs/>
          <w:color w:val="C00000"/>
          <w:kern w:val="0"/>
          <w:sz w:val="32"/>
          <w:szCs w:val="32"/>
          <w:lang w:eastAsia="zh-CN"/>
        </w:rPr>
        <w:t>（下属企业）</w:t>
      </w:r>
    </w:p>
    <w:p>
      <w:pPr>
        <w:jc w:val="left"/>
        <w:rPr>
          <w:rFonts w:hint="eastAsia"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w:t>当账单确认挂账后，在</w:t>
      </w:r>
      <w:r>
        <w:rPr>
          <w:rFonts w:hint="eastAsia" w:ascii="微软雅黑" w:hAnsi="微软雅黑" w:eastAsia="微软雅黑" w:cs="微软雅黑"/>
          <w:b/>
          <w:bCs/>
          <w:sz w:val="28"/>
          <w:szCs w:val="28"/>
        </w:rPr>
        <w:t>应付管理</w:t>
      </w:r>
      <w:r>
        <w:rPr>
          <w:rFonts w:hint="eastAsia" w:ascii="微软雅黑" w:hAnsi="微软雅黑" w:eastAsia="微软雅黑" w:cs="微软雅黑"/>
          <w:sz w:val="28"/>
          <w:szCs w:val="28"/>
        </w:rPr>
        <w:t>中选择账单</w:t>
      </w:r>
      <w:r>
        <w:rPr>
          <w:rFonts w:hint="eastAsia" w:ascii="微软雅黑" w:hAnsi="微软雅黑" w:eastAsia="微软雅黑" w:cs="微软雅黑"/>
          <w:b/>
          <w:bCs/>
          <w:sz w:val="28"/>
          <w:szCs w:val="28"/>
        </w:rPr>
        <w:t>申请付款</w:t>
      </w:r>
      <w:r>
        <w:rPr>
          <w:rFonts w:hint="eastAsia" w:ascii="微软雅黑" w:hAnsi="微软雅黑" w:eastAsia="微软雅黑" w:cs="微软雅黑"/>
          <w:sz w:val="28"/>
          <w:szCs w:val="28"/>
        </w:rPr>
        <w:t>。</w:t>
      </w:r>
    </w:p>
    <w:p>
      <w:pPr>
        <w:jc w:val="left"/>
        <w:rPr>
          <w:rFonts w:hint="eastAsia"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w:t>支付方式分为</w:t>
      </w:r>
      <w:r>
        <w:rPr>
          <w:rFonts w:hint="eastAsia" w:ascii="微软雅黑" w:hAnsi="微软雅黑" w:eastAsia="微软雅黑" w:cs="微软雅黑"/>
          <w:b/>
          <w:bCs/>
          <w:sz w:val="28"/>
          <w:szCs w:val="28"/>
        </w:rPr>
        <w:t>工业E+和银行承兑</w:t>
      </w:r>
      <w:r>
        <w:rPr>
          <w:rFonts w:hint="eastAsia" w:ascii="微软雅黑" w:hAnsi="微软雅黑" w:eastAsia="微软雅黑" w:cs="微软雅黑"/>
          <w:sz w:val="28"/>
          <w:szCs w:val="28"/>
        </w:rPr>
        <w:t>两种，需选择其中一种。如选择工业E+,填写付款金额。如选择银行承兑，需要选择汇票号，如需添加新的承兑汇票，可点击旁边的</w:t>
      </w:r>
      <w:r>
        <w:rPr>
          <w:rFonts w:hint="eastAsia" w:ascii="微软雅黑" w:hAnsi="微软雅黑" w:eastAsia="微软雅黑" w:cs="微软雅黑"/>
          <w:color w:val="0000FF"/>
          <w:sz w:val="28"/>
          <w:szCs w:val="28"/>
        </w:rPr>
        <w:t>蓝色链接</w:t>
      </w:r>
      <w:r>
        <w:rPr>
          <w:rFonts w:hint="eastAsia" w:ascii="微软雅黑" w:hAnsi="微软雅黑" w:eastAsia="微软雅黑" w:cs="微软雅黑"/>
          <w:sz w:val="28"/>
          <w:szCs w:val="28"/>
        </w:rPr>
        <w:t>，跳转到新增银行承兑汇票页面。</w:t>
      </w:r>
    </w:p>
    <w:p>
      <w:pPr>
        <w:rPr>
          <w:rFonts w:hint="eastAsia" w:ascii="微软雅黑" w:hAnsi="微软雅黑" w:eastAsia="微软雅黑" w:cs="微软雅黑"/>
          <w:color w:val="333333"/>
          <w:kern w:val="0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w:t>选择</w:t>
      </w:r>
      <w:r>
        <w:rPr>
          <w:rFonts w:hint="eastAsia" w:ascii="微软雅黑" w:hAnsi="微软雅黑" w:eastAsia="微软雅黑" w:cs="微软雅黑"/>
          <w:b/>
          <w:bCs/>
          <w:sz w:val="28"/>
          <w:szCs w:val="28"/>
        </w:rPr>
        <w:t>审批主管</w:t>
      </w:r>
      <w:r>
        <w:rPr>
          <w:rFonts w:hint="eastAsia" w:ascii="微软雅黑" w:hAnsi="微软雅黑" w:eastAsia="微软雅黑" w:cs="微软雅黑"/>
          <w:sz w:val="28"/>
          <w:szCs w:val="28"/>
        </w:rPr>
        <w:t>，添加备注信息，点击</w:t>
      </w:r>
      <w:r>
        <w:rPr>
          <w:rFonts w:hint="eastAsia" w:ascii="微软雅黑" w:hAnsi="微软雅黑" w:eastAsia="微软雅黑" w:cs="微软雅黑"/>
          <w:b/>
          <w:sz w:val="28"/>
          <w:szCs w:val="28"/>
        </w:rPr>
        <w:t>提交付款申请</w:t>
      </w:r>
      <w:r>
        <w:rPr>
          <w:rFonts w:hint="eastAsia" w:ascii="微软雅黑" w:hAnsi="微软雅黑" w:eastAsia="微软雅黑" w:cs="微软雅黑"/>
          <w:sz w:val="28"/>
          <w:szCs w:val="28"/>
        </w:rPr>
        <w:t>按钮</w:t>
      </w:r>
      <w:r>
        <w:rPr>
          <w:rFonts w:hint="eastAsia" w:ascii="微软雅黑" w:hAnsi="微软雅黑" w:eastAsia="微软雅黑" w:cs="微软雅黑"/>
          <w:color w:val="333333"/>
          <w:kern w:val="0"/>
          <w:sz w:val="28"/>
          <w:szCs w:val="28"/>
        </w:rPr>
        <w:t>。</w:t>
      </w:r>
    </w:p>
    <w:p>
      <w:pPr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114300" distR="114300">
            <wp:extent cx="5273675" cy="2969260"/>
            <wp:effectExtent l="0" t="0" r="3175" b="2540"/>
            <wp:docPr id="3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9692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 w:eastAsia="微软雅黑" w:cs="微软雅黑"/>
          <w:color w:val="333333"/>
          <w:kern w:val="0"/>
          <w:sz w:val="28"/>
          <w:szCs w:val="28"/>
          <w:lang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eastAsia="zh-CN"/>
        </w:rPr>
        <w:t>备注：</w:t>
      </w:r>
      <w:r>
        <w:rPr>
          <w:rFonts w:hint="eastAsia" w:ascii="微软雅黑" w:hAnsi="微软雅黑" w:eastAsia="微软雅黑" w:cs="微软雅黑"/>
          <w:sz w:val="28"/>
          <w:szCs w:val="28"/>
        </w:rPr>
        <w:t>在承兑汇票管理中，可管理已有的承兑汇票或添加新的承兑汇票</w:t>
      </w:r>
      <w:r>
        <w:rPr>
          <w:rFonts w:hint="eastAsia" w:ascii="微软雅黑" w:hAnsi="微软雅黑" w:eastAsia="微软雅黑" w:cs="微软雅黑"/>
          <w:color w:val="333333"/>
          <w:kern w:val="0"/>
          <w:sz w:val="28"/>
          <w:szCs w:val="28"/>
          <w:lang w:eastAsia="zh-CN"/>
        </w:rPr>
        <w:t>。</w:t>
      </w:r>
    </w:p>
    <w:p>
      <w:pPr>
        <w:rPr>
          <w:rFonts w:hint="eastAsia" w:ascii="微软雅黑" w:hAnsi="微软雅黑" w:eastAsia="微软雅黑" w:cs="微软雅黑"/>
          <w:color w:val="333333"/>
          <w:kern w:val="0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w:drawing>
          <wp:inline distT="0" distB="0" distL="0" distR="0">
            <wp:extent cx="5274310" cy="2207260"/>
            <wp:effectExtent l="0" t="0" r="2540" b="2540"/>
            <wp:docPr id="38" name="图片 38" descr="C:\Users\斯聪\Desktop\工作\截图\下属企业\新建文件夹\集采企业-添加承兑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C:\Users\斯聪\Desktop\工作\截图\下属企业\新建文件夹\集采企业-添加承兑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07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"/>
        <w:widowControl/>
        <w:numPr>
          <w:ilvl w:val="0"/>
          <w:numId w:val="0"/>
        </w:numPr>
        <w:shd w:val="clear" w:color="auto" w:fill="FFFFFF"/>
        <w:spacing w:before="100" w:beforeAutospacing="1" w:after="100" w:afterAutospacing="1"/>
        <w:ind w:leftChars="0"/>
        <w:jc w:val="left"/>
        <w:outlineLvl w:val="4"/>
        <w:rPr>
          <w:rFonts w:hint="eastAsia" w:ascii="微软雅黑" w:hAnsi="微软雅黑" w:eastAsia="微软雅黑" w:cs="微软雅黑"/>
          <w:color w:val="333333"/>
          <w:kern w:val="0"/>
          <w:sz w:val="32"/>
          <w:szCs w:val="32"/>
        </w:rPr>
      </w:pP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32"/>
          <w:szCs w:val="32"/>
          <w:lang w:eastAsia="zh-CN"/>
        </w:rPr>
        <w:t>七、</w:t>
      </w: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32"/>
          <w:szCs w:val="32"/>
        </w:rPr>
        <w:t>集采方--财务主管</w:t>
      </w: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32"/>
          <w:szCs w:val="32"/>
          <w:lang w:eastAsia="zh-CN"/>
        </w:rPr>
        <w:t>：</w:t>
      </w: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32"/>
          <w:szCs w:val="32"/>
        </w:rPr>
        <w:t>审批付款申请</w:t>
      </w:r>
      <w:r>
        <w:rPr>
          <w:rFonts w:hint="eastAsia" w:ascii="微软雅黑" w:hAnsi="微软雅黑" w:eastAsia="微软雅黑" w:cs="微软雅黑"/>
          <w:b/>
          <w:bCs/>
          <w:color w:val="C00000"/>
          <w:kern w:val="0"/>
          <w:sz w:val="32"/>
          <w:szCs w:val="32"/>
          <w:lang w:eastAsia="zh-CN"/>
        </w:rPr>
        <w:t>（下属企业）</w:t>
      </w:r>
    </w:p>
    <w:p>
      <w:pPr>
        <w:widowControl/>
        <w:shd w:val="clear" w:color="auto" w:fill="FFFFFF"/>
        <w:spacing w:before="192" w:after="192"/>
        <w:jc w:val="left"/>
        <w:rPr>
          <w:rFonts w:hint="eastAsia"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w:t>当</w:t>
      </w:r>
      <w:r>
        <w:rPr>
          <w:rFonts w:hint="eastAsia" w:ascii="微软雅黑" w:hAnsi="微软雅黑" w:eastAsia="微软雅黑" w:cs="微软雅黑"/>
          <w:sz w:val="28"/>
          <w:szCs w:val="28"/>
          <w:lang w:eastAsia="zh-CN"/>
        </w:rPr>
        <w:t>“集采方</w:t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-财务”</w:t>
      </w:r>
      <w:r>
        <w:rPr>
          <w:rFonts w:hint="eastAsia" w:ascii="微软雅黑" w:hAnsi="微软雅黑" w:eastAsia="微软雅黑" w:cs="微软雅黑"/>
          <w:sz w:val="28"/>
          <w:szCs w:val="28"/>
        </w:rPr>
        <w:t>提交付款</w:t>
      </w:r>
      <w:r>
        <w:rPr>
          <w:rFonts w:hint="eastAsia" w:ascii="微软雅黑" w:hAnsi="微软雅黑" w:eastAsia="微软雅黑" w:cs="微软雅黑"/>
          <w:sz w:val="28"/>
          <w:szCs w:val="28"/>
          <w:lang w:eastAsia="zh-CN"/>
        </w:rPr>
        <w:t>申请</w:t>
      </w:r>
      <w:r>
        <w:rPr>
          <w:rFonts w:hint="eastAsia" w:ascii="微软雅黑" w:hAnsi="微软雅黑" w:eastAsia="微软雅黑" w:cs="微软雅黑"/>
          <w:sz w:val="28"/>
          <w:szCs w:val="28"/>
        </w:rPr>
        <w:t>后，</w:t>
      </w:r>
      <w:r>
        <w:rPr>
          <w:rFonts w:hint="eastAsia" w:ascii="微软雅黑" w:hAnsi="微软雅黑" w:eastAsia="微软雅黑" w:cs="微软雅黑"/>
          <w:sz w:val="28"/>
          <w:szCs w:val="28"/>
          <w:lang w:eastAsia="zh-CN"/>
        </w:rPr>
        <w:t>财务</w:t>
      </w:r>
      <w:r>
        <w:rPr>
          <w:rFonts w:hint="eastAsia" w:ascii="微软雅黑" w:hAnsi="微软雅黑" w:eastAsia="微软雅黑" w:cs="微软雅黑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审批主管</w:t>
      </w:r>
      <w:r>
        <w:rPr>
          <w:rFonts w:hint="eastAsia" w:ascii="微软雅黑" w:hAnsi="微软雅黑" w:eastAsia="微软雅黑" w:cs="微软雅黑"/>
          <w:sz w:val="28"/>
          <w:szCs w:val="28"/>
        </w:rPr>
        <w:t>在</w:t>
      </w:r>
      <w:r>
        <w:rPr>
          <w:rFonts w:hint="eastAsia" w:ascii="微软雅黑" w:hAnsi="微软雅黑" w:eastAsia="微软雅黑" w:cs="微软雅黑"/>
          <w:b/>
          <w:bCs/>
          <w:sz w:val="28"/>
          <w:szCs w:val="28"/>
          <w:lang w:eastAsia="zh-CN"/>
        </w:rPr>
        <w:t>“</w:t>
      </w:r>
      <w:r>
        <w:rPr>
          <w:rFonts w:hint="eastAsia" w:ascii="微软雅黑" w:hAnsi="微软雅黑" w:eastAsia="微软雅黑" w:cs="微软雅黑"/>
          <w:b/>
          <w:bCs/>
          <w:sz w:val="28"/>
          <w:szCs w:val="28"/>
        </w:rPr>
        <w:t>付款审批</w:t>
      </w:r>
      <w:r>
        <w:rPr>
          <w:rFonts w:hint="eastAsia" w:ascii="微软雅黑" w:hAnsi="微软雅黑" w:eastAsia="微软雅黑" w:cs="微软雅黑"/>
          <w:b/>
          <w:bCs/>
          <w:sz w:val="28"/>
          <w:szCs w:val="28"/>
          <w:lang w:eastAsia="zh-CN"/>
        </w:rPr>
        <w:t>”</w:t>
      </w:r>
      <w:r>
        <w:rPr>
          <w:rFonts w:hint="eastAsia" w:ascii="微软雅黑" w:hAnsi="微软雅黑" w:eastAsia="微软雅黑" w:cs="微软雅黑"/>
          <w:sz w:val="28"/>
          <w:szCs w:val="28"/>
        </w:rPr>
        <w:t>中选择</w:t>
      </w:r>
      <w:r>
        <w:rPr>
          <w:rFonts w:hint="eastAsia" w:ascii="微软雅黑" w:hAnsi="微软雅黑" w:eastAsia="微软雅黑" w:cs="微软雅黑"/>
          <w:b/>
          <w:bCs/>
          <w:sz w:val="28"/>
          <w:szCs w:val="28"/>
          <w:lang w:eastAsia="zh-CN"/>
        </w:rPr>
        <w:t>等</w:t>
      </w:r>
      <w:r>
        <w:rPr>
          <w:rFonts w:hint="eastAsia" w:ascii="微软雅黑" w:hAnsi="微软雅黑" w:eastAsia="微软雅黑" w:cs="微软雅黑"/>
          <w:b/>
          <w:bCs/>
          <w:sz w:val="28"/>
          <w:szCs w:val="28"/>
        </w:rPr>
        <w:t>待</w:t>
      </w:r>
      <w:r>
        <w:rPr>
          <w:rFonts w:hint="eastAsia" w:ascii="微软雅黑" w:hAnsi="微软雅黑" w:eastAsia="微软雅黑" w:cs="微软雅黑"/>
          <w:b/>
          <w:bCs/>
          <w:sz w:val="28"/>
          <w:szCs w:val="28"/>
          <w:lang w:eastAsia="zh-CN"/>
        </w:rPr>
        <w:t>主管审批</w:t>
      </w:r>
      <w:r>
        <w:rPr>
          <w:rFonts w:hint="eastAsia" w:ascii="微软雅黑" w:hAnsi="微软雅黑" w:eastAsia="微软雅黑" w:cs="微软雅黑"/>
          <w:b w:val="0"/>
          <w:bCs w:val="0"/>
          <w:sz w:val="28"/>
          <w:szCs w:val="28"/>
          <w:lang w:eastAsia="zh-CN"/>
        </w:rPr>
        <w:t>右侧</w:t>
      </w:r>
      <w:r>
        <w:rPr>
          <w:rFonts w:hint="eastAsia" w:ascii="微软雅黑" w:hAnsi="微软雅黑" w:eastAsia="微软雅黑" w:cs="微软雅黑"/>
          <w:b/>
          <w:bCs/>
          <w:sz w:val="28"/>
          <w:szCs w:val="28"/>
          <w:lang w:eastAsia="zh-CN"/>
        </w:rPr>
        <w:t>编辑</w:t>
      </w:r>
      <w:r>
        <w:rPr>
          <w:rFonts w:hint="eastAsia" w:ascii="微软雅黑" w:hAnsi="微软雅黑" w:eastAsia="微软雅黑" w:cs="微软雅黑"/>
          <w:b w:val="0"/>
          <w:bCs w:val="0"/>
          <w:sz w:val="28"/>
          <w:szCs w:val="28"/>
          <w:lang w:eastAsia="zh-CN"/>
        </w:rPr>
        <w:t>按钮进行处理</w:t>
      </w:r>
      <w:r>
        <w:rPr>
          <w:rFonts w:hint="eastAsia" w:ascii="微软雅黑" w:hAnsi="微软雅黑" w:eastAsia="微软雅黑" w:cs="微软雅黑"/>
          <w:sz w:val="28"/>
          <w:szCs w:val="28"/>
        </w:rPr>
        <w:t>。</w:t>
      </w:r>
    </w:p>
    <w:p>
      <w:pPr>
        <w:widowControl/>
        <w:shd w:val="clear" w:color="auto" w:fill="FFFFFF"/>
        <w:spacing w:before="192" w:after="192"/>
        <w:jc w:val="left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114300" distR="114300">
            <wp:extent cx="5273675" cy="1680210"/>
            <wp:effectExtent l="0" t="0" r="3175" b="15240"/>
            <wp:docPr id="7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6802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192" w:after="192"/>
        <w:jc w:val="left"/>
        <w:rPr>
          <w:rFonts w:hint="eastAsia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  <w:lang w:eastAsia="zh-CN"/>
        </w:rPr>
        <w:t>进入到</w:t>
      </w:r>
      <w:r>
        <w:rPr>
          <w:rFonts w:hint="eastAsia" w:ascii="微软雅黑" w:hAnsi="微软雅黑" w:eastAsia="微软雅黑" w:cs="微软雅黑"/>
          <w:b/>
          <w:bCs/>
          <w:sz w:val="28"/>
          <w:szCs w:val="28"/>
          <w:lang w:eastAsia="zh-CN"/>
        </w:rPr>
        <w:t>审批详情</w:t>
      </w:r>
      <w:r>
        <w:rPr>
          <w:rFonts w:hint="eastAsia" w:ascii="微软雅黑" w:hAnsi="微软雅黑" w:eastAsia="微软雅黑" w:cs="微软雅黑"/>
          <w:sz w:val="28"/>
          <w:szCs w:val="28"/>
          <w:lang w:eastAsia="zh-CN"/>
        </w:rPr>
        <w:t>页面，</w:t>
      </w:r>
      <w:r>
        <w:rPr>
          <w:rFonts w:hint="eastAsia" w:ascii="微软雅黑" w:hAnsi="微软雅黑" w:eastAsia="微软雅黑" w:cs="微软雅黑"/>
          <w:sz w:val="28"/>
          <w:szCs w:val="28"/>
        </w:rPr>
        <w:t>如确认申请无误，点击</w:t>
      </w:r>
      <w:r>
        <w:rPr>
          <w:rFonts w:hint="eastAsia" w:ascii="微软雅黑" w:hAnsi="微软雅黑" w:eastAsia="微软雅黑" w:cs="微软雅黑"/>
          <w:b/>
          <w:sz w:val="28"/>
          <w:szCs w:val="28"/>
        </w:rPr>
        <w:t>通过</w:t>
      </w:r>
      <w:r>
        <w:rPr>
          <w:rFonts w:hint="eastAsia" w:ascii="微软雅黑" w:hAnsi="微软雅黑" w:eastAsia="微软雅黑" w:cs="微软雅黑"/>
          <w:sz w:val="28"/>
          <w:szCs w:val="28"/>
        </w:rPr>
        <w:t>按钮。如申请有疑问，点击</w:t>
      </w:r>
      <w:r>
        <w:rPr>
          <w:rFonts w:hint="eastAsia" w:ascii="微软雅黑" w:hAnsi="微软雅黑" w:eastAsia="微软雅黑" w:cs="微软雅黑"/>
          <w:b/>
          <w:sz w:val="28"/>
          <w:szCs w:val="28"/>
        </w:rPr>
        <w:t>打回</w:t>
      </w:r>
      <w:r>
        <w:rPr>
          <w:rFonts w:hint="eastAsia" w:ascii="微软雅黑" w:hAnsi="微软雅黑" w:eastAsia="微软雅黑" w:cs="微软雅黑"/>
          <w:sz w:val="28"/>
          <w:szCs w:val="28"/>
        </w:rPr>
        <w:t>按钮，反馈至申请人。</w:t>
      </w:r>
    </w:p>
    <w:p>
      <w:pPr>
        <w:widowControl/>
        <w:shd w:val="clear" w:color="auto" w:fill="FFFFFF"/>
        <w:spacing w:before="192" w:after="192"/>
        <w:jc w:val="left"/>
        <w:rPr>
          <w:rFonts w:hint="eastAsia" w:ascii="微软雅黑" w:hAnsi="微软雅黑" w:eastAsia="微软雅黑" w:cs="微软雅黑"/>
          <w:color w:val="333333"/>
          <w:kern w:val="0"/>
          <w:sz w:val="28"/>
          <w:szCs w:val="28"/>
        </w:rPr>
      </w:pPr>
      <w:r>
        <w:rPr>
          <w:sz w:val="28"/>
          <w:szCs w:val="28"/>
        </w:rPr>
        <w:drawing>
          <wp:inline distT="0" distB="0" distL="114300" distR="114300">
            <wp:extent cx="5263515" cy="2096770"/>
            <wp:effectExtent l="0" t="0" r="13335" b="17780"/>
            <wp:docPr id="7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0967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"/>
        <w:widowControl/>
        <w:numPr>
          <w:ilvl w:val="0"/>
          <w:numId w:val="0"/>
        </w:numPr>
        <w:shd w:val="clear" w:color="auto" w:fill="FFFFFF"/>
        <w:spacing w:before="100" w:beforeAutospacing="1" w:after="100" w:afterAutospacing="1"/>
        <w:ind w:leftChars="0"/>
        <w:jc w:val="left"/>
        <w:outlineLvl w:val="4"/>
        <w:rPr>
          <w:rFonts w:hint="eastAsia" w:ascii="微软雅黑" w:hAnsi="微软雅黑" w:eastAsia="微软雅黑" w:cs="微软雅黑"/>
          <w:b/>
          <w:bCs/>
          <w:color w:val="333333"/>
          <w:kern w:val="0"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32"/>
          <w:szCs w:val="32"/>
          <w:lang w:val="en-US" w:eastAsia="zh-CN"/>
        </w:rPr>
        <w:t>八、</w:t>
      </w: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32"/>
          <w:szCs w:val="32"/>
        </w:rPr>
        <w:t>集采方--财务</w:t>
      </w: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32"/>
          <w:szCs w:val="32"/>
          <w:lang w:eastAsia="zh-CN"/>
        </w:rPr>
        <w:t>：</w:t>
      </w: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32"/>
          <w:szCs w:val="32"/>
        </w:rPr>
        <w:t>编辑付款信息</w:t>
      </w:r>
      <w:r>
        <w:rPr>
          <w:rFonts w:hint="eastAsia" w:ascii="微软雅黑" w:hAnsi="微软雅黑" w:eastAsia="微软雅黑" w:cs="微软雅黑"/>
          <w:b/>
          <w:bCs/>
          <w:color w:val="C00000"/>
          <w:kern w:val="0"/>
          <w:sz w:val="32"/>
          <w:szCs w:val="32"/>
          <w:lang w:eastAsia="zh-CN"/>
        </w:rPr>
        <w:t>（下属企业）</w:t>
      </w:r>
    </w:p>
    <w:p>
      <w:pPr>
        <w:widowControl/>
        <w:shd w:val="clear" w:color="auto" w:fill="FFFFFF"/>
        <w:spacing w:before="192" w:after="192"/>
        <w:jc w:val="left"/>
        <w:rPr>
          <w:rFonts w:hint="eastAsia" w:ascii="微软雅黑" w:hAnsi="微软雅黑" w:eastAsia="微软雅黑" w:cs="微软雅黑"/>
          <w:color w:val="333333"/>
          <w:kern w:val="0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w:t>当付款处于</w:t>
      </w:r>
      <w:r>
        <w:rPr>
          <w:rFonts w:hint="eastAsia" w:ascii="微软雅黑" w:hAnsi="微软雅黑" w:eastAsia="微软雅黑" w:cs="微软雅黑"/>
          <w:color w:val="333333"/>
          <w:sz w:val="28"/>
          <w:szCs w:val="28"/>
        </w:rPr>
        <w:t>等待主管审核或审核被打回的状态，可在</w:t>
      </w:r>
      <w:r>
        <w:rPr>
          <w:rFonts w:hint="eastAsia" w:ascii="微软雅黑" w:hAnsi="微软雅黑" w:eastAsia="微软雅黑" w:cs="微软雅黑"/>
          <w:b/>
          <w:bCs/>
          <w:color w:val="333333"/>
          <w:sz w:val="28"/>
          <w:szCs w:val="28"/>
        </w:rPr>
        <w:t>付款管理</w:t>
      </w:r>
      <w:r>
        <w:rPr>
          <w:rFonts w:hint="eastAsia" w:ascii="微软雅黑" w:hAnsi="微软雅黑" w:eastAsia="微软雅黑" w:cs="微软雅黑"/>
          <w:color w:val="333333"/>
          <w:sz w:val="28"/>
          <w:szCs w:val="28"/>
        </w:rPr>
        <w:t>中选择相应付款，对付款信息进行编辑，点击</w:t>
      </w:r>
      <w:r>
        <w:rPr>
          <w:rFonts w:hint="eastAsia" w:ascii="微软雅黑" w:hAnsi="微软雅黑" w:eastAsia="微软雅黑" w:cs="微软雅黑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保存</w:t>
      </w:r>
      <w:r>
        <w:rPr>
          <w:rFonts w:hint="eastAsia" w:ascii="微软雅黑" w:hAnsi="微软雅黑" w:eastAsia="微软雅黑" w:cs="微软雅黑"/>
          <w:color w:val="333333"/>
          <w:sz w:val="28"/>
          <w:szCs w:val="28"/>
        </w:rPr>
        <w:t>按钮保存</w:t>
      </w:r>
      <w:r>
        <w:rPr>
          <w:rFonts w:hint="eastAsia" w:ascii="微软雅黑" w:hAnsi="微软雅黑" w:eastAsia="微软雅黑" w:cs="微软雅黑"/>
          <w:color w:val="333333"/>
          <w:kern w:val="0"/>
          <w:sz w:val="28"/>
          <w:szCs w:val="28"/>
        </w:rPr>
        <w:t>。</w:t>
      </w:r>
    </w:p>
    <w:p>
      <w:pPr>
        <w:widowControl/>
        <w:shd w:val="clear" w:color="auto" w:fill="FFFFFF"/>
        <w:spacing w:before="192" w:after="192"/>
        <w:jc w:val="left"/>
        <w:rPr>
          <w:rFonts w:hint="eastAsia" w:ascii="微软雅黑" w:hAnsi="微软雅黑" w:eastAsia="微软雅黑" w:cs="微软雅黑"/>
          <w:color w:val="333333"/>
          <w:kern w:val="0"/>
          <w:sz w:val="28"/>
          <w:szCs w:val="28"/>
        </w:rPr>
      </w:pPr>
      <w:r>
        <w:rPr>
          <w:sz w:val="28"/>
          <w:szCs w:val="28"/>
        </w:rPr>
        <w:drawing>
          <wp:inline distT="0" distB="0" distL="114300" distR="114300">
            <wp:extent cx="5263515" cy="1738630"/>
            <wp:effectExtent l="0" t="0" r="13335" b="13970"/>
            <wp:docPr id="7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7386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"/>
        <w:widowControl/>
        <w:numPr>
          <w:ilvl w:val="0"/>
          <w:numId w:val="0"/>
        </w:numPr>
        <w:shd w:val="clear" w:color="auto" w:fill="FFFFFF"/>
        <w:spacing w:before="100" w:beforeAutospacing="1" w:after="100" w:afterAutospacing="1"/>
        <w:ind w:leftChars="0"/>
        <w:jc w:val="left"/>
        <w:outlineLvl w:val="4"/>
        <w:rPr>
          <w:rFonts w:hint="eastAsia" w:ascii="微软雅黑" w:hAnsi="微软雅黑" w:eastAsia="微软雅黑" w:cs="微软雅黑"/>
          <w:b/>
          <w:bCs/>
          <w:color w:val="333333"/>
          <w:kern w:val="0"/>
          <w:sz w:val="32"/>
          <w:szCs w:val="32"/>
        </w:rPr>
      </w:pP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32"/>
          <w:szCs w:val="32"/>
          <w:lang w:eastAsia="zh-CN"/>
        </w:rPr>
        <w:t>九、</w:t>
      </w: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32"/>
          <w:szCs w:val="32"/>
        </w:rPr>
        <w:t>集采方--财务主管</w:t>
      </w: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32"/>
          <w:szCs w:val="32"/>
          <w:lang w:eastAsia="zh-CN"/>
        </w:rPr>
        <w:t>：</w:t>
      </w: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32"/>
          <w:szCs w:val="32"/>
        </w:rPr>
        <w:t>确认付款</w:t>
      </w:r>
      <w:r>
        <w:rPr>
          <w:rFonts w:hint="eastAsia" w:ascii="微软雅黑" w:hAnsi="微软雅黑" w:eastAsia="微软雅黑" w:cs="微软雅黑"/>
          <w:b/>
          <w:bCs/>
          <w:color w:val="C00000"/>
          <w:kern w:val="0"/>
          <w:sz w:val="32"/>
          <w:szCs w:val="32"/>
          <w:lang w:eastAsia="zh-CN"/>
        </w:rPr>
        <w:t>（下属企业）</w:t>
      </w:r>
    </w:p>
    <w:p>
      <w:pPr>
        <w:jc w:val="left"/>
        <w:rPr>
          <w:rFonts w:hint="eastAsia"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w:t>当付款申请通过审批后，需要支付这笔款项时再次打开此</w:t>
      </w:r>
      <w:r>
        <w:rPr>
          <w:rFonts w:hint="eastAsia" w:ascii="微软雅黑" w:hAnsi="微软雅黑" w:eastAsia="微软雅黑" w:cs="微软雅黑"/>
          <w:b/>
          <w:bCs/>
          <w:sz w:val="28"/>
          <w:szCs w:val="28"/>
        </w:rPr>
        <w:t>付款申请</w:t>
      </w:r>
      <w:r>
        <w:rPr>
          <w:rFonts w:hint="eastAsia" w:ascii="微软雅黑" w:hAnsi="微软雅黑" w:eastAsia="微软雅黑" w:cs="微软雅黑"/>
          <w:sz w:val="28"/>
          <w:szCs w:val="28"/>
        </w:rPr>
        <w:t>，点击</w:t>
      </w:r>
      <w:r>
        <w:rPr>
          <w:rFonts w:hint="eastAsia" w:ascii="微软雅黑" w:hAnsi="微软雅黑" w:eastAsia="微软雅黑" w:cs="微软雅黑"/>
          <w:b/>
          <w:sz w:val="28"/>
          <w:szCs w:val="28"/>
        </w:rPr>
        <w:t>确认付款</w:t>
      </w:r>
      <w:r>
        <w:rPr>
          <w:rFonts w:hint="eastAsia" w:ascii="微软雅黑" w:hAnsi="微软雅黑" w:eastAsia="微软雅黑" w:cs="微软雅黑"/>
          <w:sz w:val="28"/>
          <w:szCs w:val="28"/>
        </w:rPr>
        <w:t>按钮，等待收款方</w:t>
      </w:r>
      <w:r>
        <w:rPr>
          <w:rFonts w:hint="eastAsia" w:ascii="微软雅黑" w:hAnsi="微软雅黑" w:eastAsia="微软雅黑" w:cs="微软雅黑"/>
          <w:sz w:val="28"/>
          <w:szCs w:val="28"/>
          <w:lang w:eastAsia="zh-CN"/>
        </w:rPr>
        <w:t>（供应商）</w:t>
      </w:r>
      <w:r>
        <w:rPr>
          <w:rFonts w:hint="eastAsia" w:ascii="微软雅黑" w:hAnsi="微软雅黑" w:eastAsia="微软雅黑" w:cs="微软雅黑"/>
          <w:sz w:val="28"/>
          <w:szCs w:val="28"/>
        </w:rPr>
        <w:t>确认。</w:t>
      </w:r>
    </w:p>
    <w:p>
      <w:pPr>
        <w:jc w:val="left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114300" distR="114300">
            <wp:extent cx="5269865" cy="1675130"/>
            <wp:effectExtent l="0" t="0" r="6985" b="1270"/>
            <wp:docPr id="7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1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6751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微软雅黑" w:hAnsi="微软雅黑" w:eastAsia="微软雅黑" w:cs="微软雅黑"/>
          <w:sz w:val="28"/>
          <w:szCs w:val="28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eastAsia="zh-CN"/>
        </w:rPr>
        <w:t>至此：从下属企业（发起采购计划）——集采企业（发起竞价）——集采企业（对账并支付款项）——供应商（确认收款）整个竞价、订单、账单流程即完成。</w:t>
      </w:r>
    </w:p>
    <w:p>
      <w:pPr>
        <w:jc w:val="left"/>
        <w:rPr>
          <w:rFonts w:hint="eastAsia"/>
          <w:sz w:val="28"/>
          <w:szCs w:val="28"/>
        </w:rPr>
      </w:pPr>
    </w:p>
    <w:p>
      <w:pPr>
        <w:jc w:val="left"/>
        <w:rPr>
          <w:rFonts w:hint="eastAsia" w:ascii="微软雅黑" w:hAnsi="微软雅黑" w:eastAsia="微软雅黑" w:cs="微软雅黑"/>
          <w:sz w:val="28"/>
          <w:szCs w:val="28"/>
        </w:rPr>
      </w:pPr>
    </w:p>
    <w:p>
      <w:pPr>
        <w:jc w:val="left"/>
        <w:rPr>
          <w:rFonts w:hint="eastAsia" w:ascii="微软雅黑" w:hAnsi="微软雅黑" w:eastAsia="微软雅黑" w:cs="微软雅黑"/>
          <w:sz w:val="28"/>
          <w:szCs w:val="28"/>
          <w:lang w:eastAsia="zh-CN"/>
        </w:rPr>
      </w:pPr>
    </w:p>
    <w:p>
      <w:pPr>
        <w:jc w:val="left"/>
        <w:rPr>
          <w:rFonts w:hint="eastAsia" w:ascii="微软雅黑" w:hAnsi="微软雅黑" w:eastAsia="微软雅黑" w:cs="微软雅黑"/>
          <w:sz w:val="28"/>
          <w:szCs w:val="28"/>
          <w:lang w:eastAsia="zh-CN"/>
        </w:rPr>
      </w:pPr>
    </w:p>
    <w:p>
      <w:pPr>
        <w:jc w:val="left"/>
        <w:rPr>
          <w:rFonts w:hint="eastAsia" w:ascii="微软雅黑" w:hAnsi="微软雅黑" w:eastAsia="微软雅黑" w:cs="微软雅黑"/>
          <w:sz w:val="28"/>
          <w:szCs w:val="28"/>
          <w:lang w:eastAsia="zh-CN"/>
        </w:rPr>
      </w:pPr>
    </w:p>
    <w:p>
      <w:pPr>
        <w:jc w:val="left"/>
        <w:rPr>
          <w:rFonts w:hint="eastAsia" w:ascii="微软雅黑" w:hAnsi="微软雅黑" w:eastAsia="微软雅黑" w:cs="微软雅黑"/>
          <w:sz w:val="28"/>
          <w:szCs w:val="28"/>
          <w:lang w:eastAsia="zh-CN"/>
        </w:rPr>
      </w:pPr>
    </w:p>
    <w:p>
      <w:pPr>
        <w:jc w:val="left"/>
        <w:rPr>
          <w:rFonts w:hint="eastAsia" w:ascii="微软雅黑" w:hAnsi="微软雅黑" w:eastAsia="微软雅黑" w:cs="微软雅黑"/>
          <w:sz w:val="28"/>
          <w:szCs w:val="28"/>
          <w:lang w:eastAsia="zh-CN"/>
        </w:rPr>
      </w:pPr>
    </w:p>
    <w:p>
      <w:pPr>
        <w:jc w:val="center"/>
        <w:rPr>
          <w:rFonts w:hint="eastAsia" w:ascii="微软雅黑" w:hAnsi="微软雅黑" w:eastAsia="微软雅黑" w:cs="微软雅黑"/>
          <w:b/>
          <w:bCs/>
          <w:sz w:val="28"/>
          <w:szCs w:val="28"/>
          <w:lang w:eastAsia="zh-CN"/>
        </w:rPr>
      </w:pPr>
    </w:p>
    <w:p>
      <w:pPr>
        <w:jc w:val="center"/>
        <w:rPr>
          <w:rFonts w:hint="eastAsia" w:ascii="微软雅黑" w:hAnsi="微软雅黑" w:eastAsia="微软雅黑" w:cs="微软雅黑"/>
          <w:b/>
          <w:bCs/>
          <w:sz w:val="28"/>
          <w:szCs w:val="28"/>
          <w:lang w:eastAsia="zh-CN"/>
        </w:rPr>
      </w:pPr>
    </w:p>
    <w:p>
      <w:pPr>
        <w:jc w:val="center"/>
        <w:rPr>
          <w:rFonts w:hint="eastAsia" w:ascii="微软雅黑" w:hAnsi="微软雅黑" w:eastAsia="微软雅黑" w:cs="微软雅黑"/>
          <w:b/>
          <w:bCs/>
          <w:sz w:val="28"/>
          <w:szCs w:val="28"/>
          <w:lang w:eastAsia="zh-CN"/>
        </w:rPr>
      </w:pPr>
    </w:p>
    <w:p>
      <w:pPr>
        <w:jc w:val="center"/>
        <w:rPr>
          <w:rFonts w:hint="eastAsia" w:ascii="微软雅黑" w:hAnsi="微软雅黑" w:eastAsia="微软雅黑" w:cs="微软雅黑"/>
          <w:b/>
          <w:bCs/>
          <w:sz w:val="28"/>
          <w:szCs w:val="28"/>
          <w:lang w:eastAsia="zh-CN"/>
        </w:rPr>
      </w:pPr>
    </w:p>
    <w:p>
      <w:pPr>
        <w:jc w:val="center"/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36"/>
          <w:szCs w:val="36"/>
          <w:lang w:eastAsia="zh-CN"/>
        </w:rPr>
        <w:t>集采企业</w:t>
      </w:r>
      <w:r>
        <w:rPr>
          <w:rFonts w:hint="eastAsia" w:ascii="微软雅黑" w:hAnsi="微软雅黑" w:eastAsia="微软雅黑" w:cs="微软雅黑"/>
          <w:b/>
          <w:bCs/>
          <w:sz w:val="36"/>
          <w:szCs w:val="36"/>
          <w:lang w:val="en-US" w:eastAsia="zh-CN"/>
        </w:rPr>
        <w:t>--账户设置</w:t>
      </w:r>
    </w:p>
    <w:p>
      <w:pPr>
        <w:jc w:val="center"/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43815</wp:posOffset>
                </wp:positionH>
                <wp:positionV relativeFrom="paragraph">
                  <wp:posOffset>80010</wp:posOffset>
                </wp:positionV>
                <wp:extent cx="5194300" cy="0"/>
                <wp:effectExtent l="0" t="0" r="0" b="0"/>
                <wp:wrapNone/>
                <wp:docPr id="15" name="直接连接符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1186815" y="1390650"/>
                          <a:ext cx="51943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.45pt;margin-top:6.3pt;height:0pt;width:409pt;z-index:251681792;mso-width-relative:page;mso-height-relative:page;" filled="f" stroked="t" coordsize="21600,21600" o:gfxdata="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">
                <v:fill on="f" focussize="0,0"/>
                <v:stroke weight="0.5pt" color="#5B9BD5 [3204]" miterlimit="8" joinstyle="miter"/>
                <v:imagedata o:title=""/>
                <o:lock v:ext="edit" aspectratio="f"/>
              </v:line>
            </w:pict>
          </mc:Fallback>
        </mc:AlternateContent>
      </w:r>
    </w:p>
    <w:p>
      <w:pPr>
        <w:pStyle w:val="10"/>
        <w:widowControl/>
        <w:numPr>
          <w:ilvl w:val="0"/>
          <w:numId w:val="0"/>
        </w:numPr>
        <w:shd w:val="clear" w:color="auto" w:fill="FFFFFF"/>
        <w:spacing w:before="100" w:beforeAutospacing="1" w:after="100" w:afterAutospacing="1"/>
        <w:ind w:leftChars="0"/>
        <w:jc w:val="left"/>
        <w:outlineLvl w:val="3"/>
        <w:rPr>
          <w:rFonts w:hint="eastAsia" w:ascii="微软雅黑" w:hAnsi="微软雅黑" w:eastAsia="微软雅黑" w:cs="微软雅黑"/>
          <w:b/>
          <w:bCs/>
          <w:color w:val="333333"/>
          <w:kern w:val="0"/>
          <w:sz w:val="28"/>
          <w:szCs w:val="28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32"/>
          <w:szCs w:val="32"/>
          <w:lang w:eastAsia="zh-CN"/>
        </w:rPr>
        <w:t>一、</w:t>
      </w: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32"/>
          <w:szCs w:val="32"/>
        </w:rPr>
        <w:t>账户设置--</w:t>
      </w: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32"/>
          <w:szCs w:val="32"/>
          <w:lang w:eastAsia="zh-CN"/>
        </w:rPr>
        <w:t>系统</w:t>
      </w: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32"/>
          <w:szCs w:val="32"/>
        </w:rPr>
        <w:t>超级管理员</w:t>
      </w: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32"/>
          <w:szCs w:val="32"/>
          <w:lang w:eastAsia="zh-CN"/>
        </w:rPr>
        <w:t>：</w:t>
      </w: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32"/>
          <w:szCs w:val="32"/>
        </w:rPr>
        <w:t>新增用户</w:t>
      </w: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32"/>
          <w:szCs w:val="32"/>
          <w:lang w:eastAsia="zh-CN"/>
        </w:rPr>
        <w:t>（操作流程见图）</w:t>
      </w:r>
    </w:p>
    <w:p>
      <w:pPr>
        <w:widowControl/>
        <w:shd w:val="clear" w:color="auto" w:fill="FFFFFF"/>
        <w:spacing w:before="100" w:beforeAutospacing="1" w:after="100" w:afterAutospacing="1"/>
        <w:jc w:val="left"/>
        <w:outlineLvl w:val="3"/>
        <w:rPr>
          <w:rFonts w:hint="eastAsia" w:ascii="微软雅黑" w:hAnsi="微软雅黑" w:eastAsia="微软雅黑" w:cs="微软雅黑"/>
          <w:b/>
          <w:bCs/>
          <w:color w:val="333333"/>
          <w:kern w:val="0"/>
          <w:sz w:val="28"/>
          <w:szCs w:val="28"/>
        </w:rPr>
      </w:pPr>
      <w:r>
        <w:rPr>
          <w:sz w:val="28"/>
          <w:szCs w:val="28"/>
        </w:rPr>
        <w:drawing>
          <wp:inline distT="0" distB="0" distL="114300" distR="114300">
            <wp:extent cx="5263515" cy="2145665"/>
            <wp:effectExtent l="0" t="0" r="13335" b="6985"/>
            <wp:docPr id="7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1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1456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28"/>
          <w:szCs w:val="28"/>
        </w:rPr>
        <w:drawing>
          <wp:inline distT="0" distB="0" distL="0" distR="0">
            <wp:extent cx="5274310" cy="2206625"/>
            <wp:effectExtent l="0" t="0" r="2540" b="3175"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0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widowControl/>
        <w:numPr>
          <w:ilvl w:val="0"/>
          <w:numId w:val="0"/>
        </w:numPr>
        <w:shd w:val="clear" w:color="auto" w:fill="FFFFFF"/>
        <w:spacing w:before="100" w:beforeAutospacing="1" w:after="100" w:afterAutospacing="1"/>
        <w:ind w:leftChars="0"/>
        <w:jc w:val="left"/>
        <w:outlineLvl w:val="4"/>
        <w:rPr>
          <w:rFonts w:hint="eastAsia" w:ascii="微软雅黑" w:hAnsi="微软雅黑" w:eastAsia="微软雅黑" w:cs="微软雅黑"/>
          <w:b/>
          <w:bCs/>
          <w:color w:val="333333"/>
          <w:kern w:val="0"/>
          <w:sz w:val="32"/>
          <w:szCs w:val="32"/>
        </w:rPr>
      </w:pPr>
      <w:bookmarkStart w:id="1" w:name="_GoBack"/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32"/>
          <w:szCs w:val="32"/>
          <w:lang w:eastAsia="zh-CN"/>
        </w:rPr>
        <w:t>二、</w:t>
      </w: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32"/>
          <w:szCs w:val="32"/>
        </w:rPr>
        <w:t>账户设置--</w:t>
      </w: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32"/>
          <w:szCs w:val="32"/>
          <w:lang w:eastAsia="zh-CN"/>
        </w:rPr>
        <w:t>系统</w:t>
      </w: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32"/>
          <w:szCs w:val="32"/>
        </w:rPr>
        <w:t>超级管理员</w:t>
      </w: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32"/>
          <w:szCs w:val="32"/>
          <w:lang w:eastAsia="zh-CN"/>
        </w:rPr>
        <w:t>：</w:t>
      </w: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32"/>
          <w:szCs w:val="32"/>
        </w:rPr>
        <w:t>管理用户</w:t>
      </w: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32"/>
          <w:szCs w:val="32"/>
          <w:lang w:eastAsia="zh-CN"/>
        </w:rPr>
        <w:t>（操作流程见图）</w:t>
      </w:r>
    </w:p>
    <w:bookmarkEnd w:id="1"/>
    <w:p>
      <w:pPr>
        <w:widowControl/>
        <w:shd w:val="clear" w:color="auto" w:fill="FFFFFF"/>
        <w:spacing w:before="100" w:beforeAutospacing="1" w:after="100" w:afterAutospacing="1"/>
        <w:jc w:val="left"/>
        <w:outlineLvl w:val="3"/>
        <w:rPr>
          <w:rFonts w:hint="eastAsia" w:ascii="微软雅黑" w:hAnsi="微软雅黑" w:eastAsia="微软雅黑" w:cs="微软雅黑"/>
          <w:b/>
          <w:bCs/>
          <w:color w:val="333333"/>
          <w:kern w:val="0"/>
          <w:sz w:val="28"/>
          <w:szCs w:val="28"/>
        </w:rPr>
      </w:pPr>
      <w:r>
        <w:rPr>
          <w:sz w:val="28"/>
          <w:szCs w:val="28"/>
        </w:rPr>
        <w:drawing>
          <wp:inline distT="0" distB="0" distL="114300" distR="114300">
            <wp:extent cx="5266055" cy="2138680"/>
            <wp:effectExtent l="0" t="0" r="10795" b="13970"/>
            <wp:docPr id="77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1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1386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100" w:beforeAutospacing="1" w:after="100" w:afterAutospacing="1"/>
        <w:jc w:val="left"/>
        <w:outlineLvl w:val="3"/>
        <w:rPr>
          <w:rFonts w:hint="eastAsia" w:ascii="微软雅黑" w:hAnsi="微软雅黑" w:eastAsia="微软雅黑" w:cs="微软雅黑"/>
          <w:b/>
          <w:bCs/>
          <w:color w:val="333333"/>
          <w:kern w:val="0"/>
          <w:sz w:val="28"/>
          <w:szCs w:val="28"/>
        </w:rPr>
      </w:pPr>
      <w:r>
        <w:rPr>
          <w:sz w:val="28"/>
          <w:szCs w:val="28"/>
        </w:rPr>
        <w:drawing>
          <wp:inline distT="0" distB="0" distL="114300" distR="114300">
            <wp:extent cx="5267960" cy="2178050"/>
            <wp:effectExtent l="0" t="0" r="8890" b="12700"/>
            <wp:docPr id="7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1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178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Open Sans">
    <w:panose1 w:val="020B0606030504020204"/>
    <w:charset w:val="00"/>
    <w:family w:val="swiss"/>
    <w:pitch w:val="default"/>
    <w:sig w:usb0="E00002EF" w:usb1="4000205B" w:usb2="00000028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Calibri Light">
    <w:panose1 w:val="020F0302020204030204"/>
    <w:charset w:val="00"/>
    <w:family w:val="swiss"/>
    <w:pitch w:val="default"/>
    <w:sig w:usb0="A00002EF" w:usb1="4000207B" w:usb2="00000000" w:usb3="00000000" w:csb0="2000019F" w:csb1="0000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8BCCE40"/>
    <w:multiLevelType w:val="singleLevel"/>
    <w:tmpl w:val="58BCCE40"/>
    <w:lvl w:ilvl="0" w:tentative="0">
      <w:start w:val="1"/>
      <w:numFmt w:val="chineseCounting"/>
      <w:suff w:val="nothing"/>
      <w:lvlText w:val="%1、"/>
      <w:lvlJc w:val="left"/>
    </w:lvl>
  </w:abstractNum>
  <w:abstractNum w:abstractNumId="1">
    <w:nsid w:val="58BCD1A1"/>
    <w:multiLevelType w:val="singleLevel"/>
    <w:tmpl w:val="58BCD1A1"/>
    <w:lvl w:ilvl="0" w:tentative="0">
      <w:start w:val="1"/>
      <w:numFmt w:val="bullet"/>
      <w:lvlText w:val=""/>
      <w:lvlJc w:val="left"/>
      <w:pPr>
        <w:ind w:left="420" w:leftChars="0" w:hanging="420" w:firstLineChars="0"/>
      </w:pPr>
      <w:rPr>
        <w:rFonts w:hint="default"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70A3"/>
    <w:rsid w:val="00034527"/>
    <w:rsid w:val="00111DF6"/>
    <w:rsid w:val="001A4B3F"/>
    <w:rsid w:val="001B32AA"/>
    <w:rsid w:val="001F1971"/>
    <w:rsid w:val="0022448B"/>
    <w:rsid w:val="00276ECC"/>
    <w:rsid w:val="002D55C3"/>
    <w:rsid w:val="002E7BE2"/>
    <w:rsid w:val="002F01EF"/>
    <w:rsid w:val="00437F45"/>
    <w:rsid w:val="004C59CB"/>
    <w:rsid w:val="00596D82"/>
    <w:rsid w:val="00644AB0"/>
    <w:rsid w:val="00666F55"/>
    <w:rsid w:val="00682349"/>
    <w:rsid w:val="006906B4"/>
    <w:rsid w:val="006C5ABB"/>
    <w:rsid w:val="0075089E"/>
    <w:rsid w:val="00844D32"/>
    <w:rsid w:val="00AD582D"/>
    <w:rsid w:val="00C254C5"/>
    <w:rsid w:val="00CF1010"/>
    <w:rsid w:val="00D44043"/>
    <w:rsid w:val="00DA0410"/>
    <w:rsid w:val="00DC4449"/>
    <w:rsid w:val="00DD7DC4"/>
    <w:rsid w:val="00E24480"/>
    <w:rsid w:val="00E27161"/>
    <w:rsid w:val="00E413A2"/>
    <w:rsid w:val="00E62445"/>
    <w:rsid w:val="00E8271C"/>
    <w:rsid w:val="00EA3720"/>
    <w:rsid w:val="00F31229"/>
    <w:rsid w:val="00F370A3"/>
    <w:rsid w:val="00F40C67"/>
    <w:rsid w:val="02B42F35"/>
    <w:rsid w:val="03B614C5"/>
    <w:rsid w:val="05443605"/>
    <w:rsid w:val="05FC33F7"/>
    <w:rsid w:val="06B110EF"/>
    <w:rsid w:val="07155D08"/>
    <w:rsid w:val="08483B89"/>
    <w:rsid w:val="09BC26F7"/>
    <w:rsid w:val="0AEB4F18"/>
    <w:rsid w:val="0E05633D"/>
    <w:rsid w:val="10A323A4"/>
    <w:rsid w:val="10D53E4A"/>
    <w:rsid w:val="11036620"/>
    <w:rsid w:val="120A71C7"/>
    <w:rsid w:val="14290C92"/>
    <w:rsid w:val="14DB0760"/>
    <w:rsid w:val="16C85DA2"/>
    <w:rsid w:val="1A832858"/>
    <w:rsid w:val="1B194CC4"/>
    <w:rsid w:val="1B5A24E4"/>
    <w:rsid w:val="1C212B7B"/>
    <w:rsid w:val="1D5F01B2"/>
    <w:rsid w:val="1ED94C09"/>
    <w:rsid w:val="1F3D6A31"/>
    <w:rsid w:val="20CC2473"/>
    <w:rsid w:val="21DF26BE"/>
    <w:rsid w:val="21F05C3E"/>
    <w:rsid w:val="25A1135B"/>
    <w:rsid w:val="264B6057"/>
    <w:rsid w:val="268571EB"/>
    <w:rsid w:val="2930617B"/>
    <w:rsid w:val="2BCC2627"/>
    <w:rsid w:val="2C454B12"/>
    <w:rsid w:val="2E4516B3"/>
    <w:rsid w:val="2E5D252C"/>
    <w:rsid w:val="3014726E"/>
    <w:rsid w:val="30222AA4"/>
    <w:rsid w:val="32327AFC"/>
    <w:rsid w:val="32996980"/>
    <w:rsid w:val="335E12C4"/>
    <w:rsid w:val="341F3FF5"/>
    <w:rsid w:val="342B6FCD"/>
    <w:rsid w:val="3442060B"/>
    <w:rsid w:val="34F83C30"/>
    <w:rsid w:val="37F87E2B"/>
    <w:rsid w:val="38387384"/>
    <w:rsid w:val="3A0D0643"/>
    <w:rsid w:val="3E234032"/>
    <w:rsid w:val="42275BB6"/>
    <w:rsid w:val="42C717C2"/>
    <w:rsid w:val="43922E3D"/>
    <w:rsid w:val="43DA611F"/>
    <w:rsid w:val="45862EE3"/>
    <w:rsid w:val="45A65148"/>
    <w:rsid w:val="46B55D27"/>
    <w:rsid w:val="4801430A"/>
    <w:rsid w:val="48DF2E57"/>
    <w:rsid w:val="497D5C0F"/>
    <w:rsid w:val="4ADD2B5F"/>
    <w:rsid w:val="4F8E37B3"/>
    <w:rsid w:val="52D526DF"/>
    <w:rsid w:val="54257CAC"/>
    <w:rsid w:val="55686403"/>
    <w:rsid w:val="55B933AB"/>
    <w:rsid w:val="56B7762C"/>
    <w:rsid w:val="57CB23C6"/>
    <w:rsid w:val="58D7554A"/>
    <w:rsid w:val="5ADB7811"/>
    <w:rsid w:val="5C3A29E8"/>
    <w:rsid w:val="6155512A"/>
    <w:rsid w:val="63985846"/>
    <w:rsid w:val="63C83082"/>
    <w:rsid w:val="65263DE7"/>
    <w:rsid w:val="65EA6144"/>
    <w:rsid w:val="68702C79"/>
    <w:rsid w:val="68A57C7A"/>
    <w:rsid w:val="6DBA4891"/>
    <w:rsid w:val="714E3D36"/>
    <w:rsid w:val="71AB562E"/>
    <w:rsid w:val="71CD5206"/>
    <w:rsid w:val="72531C31"/>
    <w:rsid w:val="76325163"/>
    <w:rsid w:val="764A03E6"/>
    <w:rsid w:val="79052CEE"/>
  </w:rsids>
  <m:mathPr>
    <m:lMargin m:val="0"/>
    <m:mathFont m:val="Cambria Math"/>
    <m:rMargin m:val="0"/>
    <m:wrapIndent m:val="1440"/>
    <m:brkBin m:val="before"/>
    <m:brkBinSub m:val="--"/>
    <m:defJc m:val="centerGroup"/>
    <m:intLim m:val="subSup"/>
    <m:naryLim m:val="undOvr"/>
    <m:smallFrac m:val="0"/>
    <m:dispDef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unhideWhenUsed/>
    <w:qFormat/>
    <w:uiPriority w:val="1"/>
  </w:style>
  <w:style w:type="table" w:default="1" w:styleId="7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5">
    <w:name w:val="FollowedHyperlink"/>
    <w:basedOn w:val="4"/>
    <w:unhideWhenUsed/>
    <w:uiPriority w:val="99"/>
    <w:rPr>
      <w:color w:val="800080"/>
      <w:u w:val="single"/>
    </w:rPr>
  </w:style>
  <w:style w:type="character" w:styleId="6">
    <w:name w:val="Hyperlink"/>
    <w:basedOn w:val="4"/>
    <w:unhideWhenUsed/>
    <w:qFormat/>
    <w:uiPriority w:val="99"/>
    <w:rPr>
      <w:color w:val="0000FF"/>
      <w:u w:val="single"/>
    </w:rPr>
  </w:style>
  <w:style w:type="character" w:customStyle="1" w:styleId="8">
    <w:name w:val="页眉 Char"/>
    <w:basedOn w:val="4"/>
    <w:link w:val="3"/>
    <w:qFormat/>
    <w:uiPriority w:val="99"/>
    <w:rPr>
      <w:sz w:val="18"/>
      <w:szCs w:val="18"/>
    </w:rPr>
  </w:style>
  <w:style w:type="character" w:customStyle="1" w:styleId="9">
    <w:name w:val="页脚 Char"/>
    <w:basedOn w:val="4"/>
    <w:link w:val="2"/>
    <w:qFormat/>
    <w:uiPriority w:val="99"/>
    <w:rPr>
      <w:sz w:val="18"/>
      <w:szCs w:val="18"/>
    </w:rPr>
  </w:style>
  <w:style w:type="paragraph" w:customStyle="1" w:styleId="10">
    <w:name w:val="List Paragraph"/>
    <w:basedOn w:val="1"/>
    <w:qFormat/>
    <w:uiPriority w:val="34"/>
    <w:pPr>
      <w:ind w:firstLine="420" w:firstLineChars="200"/>
    </w:pPr>
    <w:rPr>
      <w:szCs w:val="24"/>
    </w:rPr>
  </w:style>
  <w:style w:type="paragraph" w:customStyle="1" w:styleId="11">
    <w:name w:val="列出段落1"/>
    <w:basedOn w:val="1"/>
    <w:qFormat/>
    <w:uiPriority w:val="34"/>
    <w:pPr>
      <w:ind w:firstLine="420" w:firstLineChars="200"/>
    </w:pPr>
    <w:rPr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9" Type="http://schemas.openxmlformats.org/officeDocument/2006/relationships/fontTable" Target="fontTable.xml"/><Relationship Id="rId28" Type="http://schemas.openxmlformats.org/officeDocument/2006/relationships/numbering" Target="numbering.xml"/><Relationship Id="rId27" Type="http://schemas.openxmlformats.org/officeDocument/2006/relationships/customXml" Target="../customXml/item1.xml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jpe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19</Pages>
  <Words>311</Words>
  <Characters>1778</Characters>
  <Lines>14</Lines>
  <Paragraphs>4</Paragraphs>
  <ScaleCrop>false</ScaleCrop>
  <LinksUpToDate>false</LinksUpToDate>
  <CharactersWithSpaces>2085</CharactersWithSpaces>
  <Application>WPS Office_10.1.0.6206_F1E327BC-269C-435d-A152-05C5408002CA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2017-03-02T03:27:00Z</dcterms:created>
  <dc:creator>蔡婷</dc:creator>
  <cp:lastModifiedBy>Administrator</cp:lastModifiedBy>
  <dcterms:modified xsi:type="dcterms:W3CDTF">2017-03-06T04:06:50Z</dcterms:modified>
  <cp:revision>20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2052-10.1.0.6206</vt:lpwstr>
  </property>
</Properties>
</file>