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511175</wp:posOffset>
                </wp:positionV>
                <wp:extent cx="516445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1580" y="1370965"/>
                          <a:ext cx="5164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45pt;margin-top:40.25pt;height:0pt;width:406.65pt;z-index:251680768;mso-width-relative:page;mso-height-relative:page;" filled="f" stroked="t" coordsize="21600,21600" o:gfxdata="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q8IAbWAAAACAEAAA8AAAAA&#10;AAAAAQAgAAAAIgAAAGRycy9kb3ducmV2LnhtbFBLAQIUABQAAAAIAIdO4kDjM0IG3QEAAG8DAAAO&#10;AAAAAAAAAAEAIAAAACUBAABkcnMvZTJvRG9jLnhtbFBLBQYAAAAABgAGAFkBAAB0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：平级企业</w:t>
      </w:r>
    </w:p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平台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采购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操作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流程</w:t>
      </w:r>
    </w:p>
    <w:p>
      <w:pPr>
        <w:pStyle w:val="11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打开浏览器输入登录地址：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instrText xml:space="preserve"> HYPERLINK "http://www.cqbm2007.com" </w:instrTex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www.cqbm2007.com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end"/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点击页面顶部“登录”按钮</w:t>
      </w:r>
    </w:p>
    <w:p>
      <w:pPr>
        <w:pStyle w:val="11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785" cy="2257425"/>
            <wp:effectExtent l="0" t="0" r="12065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输入你的帐户名+密码进行登录。</w:t>
      </w:r>
    </w:p>
    <w:p>
      <w:pPr>
        <w:pStyle w:val="11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2982595"/>
            <wp:effectExtent l="0" t="0" r="8255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登录成功后，再次点击页面顶部“用户中心”，进入用户后台管理中心。</w:t>
      </w:r>
    </w:p>
    <w:p>
      <w:pPr>
        <w:pStyle w:val="11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drawing>
          <wp:inline distT="0" distB="0" distL="114300" distR="114300">
            <wp:extent cx="5269230" cy="2259330"/>
            <wp:effectExtent l="0" t="0" r="762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7325" cy="2860675"/>
            <wp:effectExtent l="0" t="0" r="952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二、集采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企业--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销售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采购计划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管理、受理采购计划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  <w:lang w:eastAsia="zh-CN"/>
        </w:rPr>
        <w:t>平级企业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提交已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审批通过的采购计划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系统会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自动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发送至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企业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销售人员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交由其处理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（受理）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集采企业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  <w:t>--销售人员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进入&lt;集采中心--采购计划管理&gt;可查看采购计划当前所处进度，并可处理待受理的采购计划。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1774190"/>
            <wp:effectExtent l="0" t="0" r="1905" b="16510"/>
            <wp:docPr id="6" name="图片 6" descr="销售--受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销售--受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2538730"/>
            <wp:effectExtent l="0" t="0" r="1905" b="13970"/>
            <wp:docPr id="5" name="图片 5" descr="销售--受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销售--受理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处理采购计划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平级企业所提交的“采购计划”经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集采企业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  <w:t>--销售人员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受理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通过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后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系统会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自动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发送至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采购人员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，交由其处理、询价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、发起竞价等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  <w:bookmarkStart w:id="0" w:name="_GoBack"/>
      <w:bookmarkEnd w:id="0"/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719195"/>
            <wp:effectExtent l="0" t="0" r="8890" b="14605"/>
            <wp:docPr id="7" name="图片 7" descr="发起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发起竞价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发起竞价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通过采购计划选择需要竞价的物料后发起竞价，完整填写竞价信息后提交，提交成功即竞价发起成功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0975" cy="2920365"/>
            <wp:effectExtent l="0" t="0" r="15875" b="13335"/>
            <wp:docPr id="9" name="图片 9" descr="发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发起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6052820"/>
            <wp:effectExtent l="0" t="0" r="1905" b="5080"/>
            <wp:docPr id="8" name="图片 8" descr="发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发起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发起竞价提交成功后，即等待供应商参与竞价（报价）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五、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设置中标企业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供应商报价结束后，集采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采购人员可以依据供应商报价信息设置中标企业。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备注：在竞价开标时间未到前，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--采购人员可继续添加或邀请供应商参与报价，但同时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也无法查看已报价供应商价格，以确保公正公平。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3834765"/>
            <wp:effectExtent l="0" t="0" r="1905" b="13335"/>
            <wp:docPr id="10" name="图片 10" descr="比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比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竞价开标时间结束后，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  <w:lang w:eastAsia="zh-CN"/>
        </w:rPr>
        <w:t>可以查看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已报价供应商价格等，同时可以设置相应的“中标企业”，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设置完成后的结果系统会在公布时间到期时自动公布并通知供应商。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548380"/>
            <wp:effectExtent l="0" t="0" r="8890" b="13970"/>
            <wp:docPr id="12" name="图片 12" descr="比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比价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六、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--销售人员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：确认销售价格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--采购人员询价完成的采购计划将交由“集采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--销售人员”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并由销售人员确认销售价格。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2640965"/>
            <wp:effectExtent l="0" t="0" r="8890" b="6985"/>
            <wp:docPr id="11" name="图片 11" descr="设置销售价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设置销售价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设置完成后需将物料对应的价格反馈至需求方客户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（平级企业）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，以辅助需求方客户下单购买。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329940"/>
            <wp:effectExtent l="0" t="0" r="8890" b="3810"/>
            <wp:docPr id="14" name="图片 14" descr="设置销售价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设置销售价格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七、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账单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当收款方确认账单后，需要付款方对账单进行确认，如账单无误，点击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确认账单</w:t>
      </w:r>
      <w:r>
        <w:rPr>
          <w:rFonts w:hint="eastAsia" w:ascii="微软雅黑" w:hAnsi="微软雅黑" w:eastAsia="微软雅黑" w:cs="微软雅黑"/>
          <w:sz w:val="28"/>
          <w:szCs w:val="28"/>
        </w:rPr>
        <w:t>按钮。如账单有疑问，点击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按钮，将问题反馈至收款方。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1917065"/>
            <wp:effectExtent l="0" t="0" r="8255" b="698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八、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发起挂账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当付款方完成账单确认，需要对账单进行挂账，确认账单信息无误，点击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发起挂账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7960" cy="1948180"/>
            <wp:effectExtent l="0" t="0" r="8890" b="139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九、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确认挂账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--采购人员</w:t>
      </w:r>
      <w:r>
        <w:rPr>
          <w:rFonts w:hint="eastAsia" w:ascii="微软雅黑" w:hAnsi="微软雅黑" w:eastAsia="微软雅黑" w:cs="微软雅黑"/>
          <w:sz w:val="28"/>
          <w:szCs w:val="28"/>
        </w:rPr>
        <w:t>发起挂账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</w:t>
      </w:r>
      <w:r>
        <w:rPr>
          <w:rFonts w:hint="eastAsia" w:ascii="微软雅黑" w:hAnsi="微软雅黑" w:eastAsia="微软雅黑" w:cs="微软雅黑"/>
          <w:sz w:val="28"/>
          <w:szCs w:val="28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--财务可在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财务中心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--挂账管理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中查看并</w:t>
      </w:r>
      <w:r>
        <w:rPr>
          <w:rFonts w:hint="eastAsia" w:ascii="微软雅黑" w:hAnsi="微软雅黑" w:eastAsia="微软雅黑" w:cs="微软雅黑"/>
          <w:sz w:val="28"/>
          <w:szCs w:val="28"/>
        </w:rPr>
        <w:t>选择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等待确认挂账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</w:rPr>
        <w:t>的账单，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点击最右侧的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“处理挂账”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按钮，进行挂账确认处理。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150" cy="2542540"/>
            <wp:effectExtent l="0" t="0" r="12700" b="1016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进入账单详细信息页面后，</w:t>
      </w:r>
      <w:r>
        <w:rPr>
          <w:rFonts w:hint="eastAsia" w:ascii="微软雅黑" w:hAnsi="微软雅黑" w:eastAsia="微软雅黑" w:cs="微软雅黑"/>
          <w:sz w:val="28"/>
          <w:szCs w:val="28"/>
        </w:rPr>
        <w:t>确认账单信息无误，点击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同意挂账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，即挂账成功。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6055" cy="2609850"/>
            <wp:effectExtent l="0" t="0" r="10795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申请付款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当账单确认挂账后，在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应付管理</w:t>
      </w:r>
      <w:r>
        <w:rPr>
          <w:rFonts w:hint="eastAsia" w:ascii="微软雅黑" w:hAnsi="微软雅黑" w:eastAsia="微软雅黑" w:cs="微软雅黑"/>
          <w:sz w:val="28"/>
          <w:szCs w:val="28"/>
        </w:rPr>
        <w:t>中选择账单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申请付款</w:t>
      </w:r>
      <w:r>
        <w:rPr>
          <w:rFonts w:hint="eastAsia" w:ascii="微软雅黑" w:hAnsi="微软雅黑" w:eastAsia="微软雅黑" w:cs="微软雅黑"/>
          <w:sz w:val="28"/>
          <w:szCs w:val="28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支付方式分为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工业E+和银行承兑</w:t>
      </w:r>
      <w:r>
        <w:rPr>
          <w:rFonts w:hint="eastAsia" w:ascii="微软雅黑" w:hAnsi="微软雅黑" w:eastAsia="微软雅黑" w:cs="微软雅黑"/>
          <w:sz w:val="28"/>
          <w:szCs w:val="28"/>
        </w:rPr>
        <w:t>两种，需选择其中一种。如选择工业E+,填写付款金额。如选择银行承兑，需要选择汇票号，如需添加新的承兑汇票，可点击旁边的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</w:rPr>
        <w:t>蓝色链接</w:t>
      </w:r>
      <w:r>
        <w:rPr>
          <w:rFonts w:hint="eastAsia" w:ascii="微软雅黑" w:hAnsi="微软雅黑" w:eastAsia="微软雅黑" w:cs="微软雅黑"/>
          <w:sz w:val="28"/>
          <w:szCs w:val="28"/>
        </w:rPr>
        <w:t>，跳转到新增银行承兑汇票页面。</w:t>
      </w:r>
    </w:p>
    <w:p>
      <w:pP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选择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审批主管</w:t>
      </w:r>
      <w:r>
        <w:rPr>
          <w:rFonts w:hint="eastAsia" w:ascii="微软雅黑" w:hAnsi="微软雅黑" w:eastAsia="微软雅黑" w:cs="微软雅黑"/>
          <w:sz w:val="28"/>
          <w:szCs w:val="28"/>
        </w:rPr>
        <w:t>，添加备注信息，点击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提交付款申请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73675" cy="2969260"/>
            <wp:effectExtent l="0" t="0" r="3175" b="254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</w:rPr>
        <w:t>在承兑汇票管理中，可管理已有的承兑汇票或添加新的承兑汇票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207260"/>
            <wp:effectExtent l="0" t="0" r="2540" b="2540"/>
            <wp:docPr id="38" name="图片 38" descr="C:\Users\斯聪\Desktop\工作\截图\下属企业\新建文件夹\集采企业-添加承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斯聪\Desktop\工作\截图\下属企业\新建文件夹\集采企业-添加承兑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十一、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集采方--财务主管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审批付款申请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“集采方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-财务”</w:t>
      </w:r>
      <w:r>
        <w:rPr>
          <w:rFonts w:hint="eastAsia" w:ascii="微软雅黑" w:hAnsi="微软雅黑" w:eastAsia="微软雅黑" w:cs="微软雅黑"/>
          <w:sz w:val="28"/>
          <w:szCs w:val="28"/>
        </w:rPr>
        <w:t>提交付款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申请</w:t>
      </w:r>
      <w:r>
        <w:rPr>
          <w:rFonts w:hint="eastAsia" w:ascii="微软雅黑" w:hAnsi="微软雅黑" w:eastAsia="微软雅黑" w:cs="微软雅黑"/>
          <w:sz w:val="28"/>
          <w:szCs w:val="28"/>
        </w:rPr>
        <w:t>后，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财务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审批主管</w:t>
      </w:r>
      <w:r>
        <w:rPr>
          <w:rFonts w:hint="eastAsia" w:ascii="微软雅黑" w:hAnsi="微软雅黑" w:eastAsia="微软雅黑" w:cs="微软雅黑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付款审批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</w:rPr>
        <w:t>中选择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等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待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主管审批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右侧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编辑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按钮进行处理</w:t>
      </w:r>
      <w:r>
        <w:rPr>
          <w:rFonts w:hint="eastAsia" w:ascii="微软雅黑" w:hAnsi="微软雅黑" w:eastAsia="微软雅黑" w:cs="微软雅黑"/>
          <w:sz w:val="28"/>
          <w:szCs w:val="28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73675" cy="1680210"/>
            <wp:effectExtent l="0" t="0" r="3175" b="15240"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进入到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审批详情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页面，</w:t>
      </w:r>
      <w:r>
        <w:rPr>
          <w:rFonts w:hint="eastAsia" w:ascii="微软雅黑" w:hAnsi="微软雅黑" w:eastAsia="微软雅黑" w:cs="微软雅黑"/>
          <w:sz w:val="28"/>
          <w:szCs w:val="28"/>
        </w:rPr>
        <w:t>如确认申请无误，点击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通过</w:t>
      </w:r>
      <w:r>
        <w:rPr>
          <w:rFonts w:hint="eastAsia" w:ascii="微软雅黑" w:hAnsi="微软雅黑" w:eastAsia="微软雅黑" w:cs="微软雅黑"/>
          <w:sz w:val="28"/>
          <w:szCs w:val="28"/>
        </w:rPr>
        <w:t>按钮。如申请有疑问，点击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按钮，反馈至申请人。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3515" cy="2096770"/>
            <wp:effectExtent l="0" t="0" r="13335" b="17780"/>
            <wp:docPr id="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十二、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编辑付款信息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当付款处于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等待主管审核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或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审核被打回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的状态，可在</w:t>
      </w:r>
      <w:r>
        <w:rPr>
          <w:rFonts w:hint="eastAsia" w:ascii="微软雅黑" w:hAnsi="微软雅黑" w:eastAsia="微软雅黑" w:cs="微软雅黑"/>
          <w:b/>
          <w:bCs/>
          <w:color w:val="333333"/>
          <w:sz w:val="28"/>
          <w:szCs w:val="28"/>
        </w:rPr>
        <w:t>付款管理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中选择相应付款，对付款信息进行编辑，点击</w:t>
      </w:r>
      <w:r>
        <w:rPr>
          <w:rFonts w:hint="eastAsia" w:ascii="微软雅黑" w:hAnsi="微软雅黑" w:eastAsia="微软雅黑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保存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按钮保存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3515" cy="1738630"/>
            <wp:effectExtent l="0" t="0" r="13335" b="13970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十三、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集采方--财务主管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确认付款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当付款申请通过审批后，需要支付这笔款项时再次打开此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付款申请</w:t>
      </w:r>
      <w:r>
        <w:rPr>
          <w:rFonts w:hint="eastAsia" w:ascii="微软雅黑" w:hAnsi="微软雅黑" w:eastAsia="微软雅黑" w:cs="微软雅黑"/>
          <w:sz w:val="28"/>
          <w:szCs w:val="28"/>
        </w:rPr>
        <w:t>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确认付款</w:t>
      </w:r>
      <w:r>
        <w:rPr>
          <w:rFonts w:hint="eastAsia" w:ascii="微软雅黑" w:hAnsi="微软雅黑" w:eastAsia="微软雅黑" w:cs="微软雅黑"/>
          <w:sz w:val="28"/>
          <w:szCs w:val="28"/>
        </w:rPr>
        <w:t>按钮，等待收款方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（供应商）</w:t>
      </w:r>
      <w:r>
        <w:rPr>
          <w:rFonts w:hint="eastAsia" w:ascii="微软雅黑" w:hAnsi="微软雅黑" w:eastAsia="微软雅黑" w:cs="微软雅黑"/>
          <w:sz w:val="28"/>
          <w:szCs w:val="28"/>
        </w:rPr>
        <w:t>确认。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9865" cy="1675130"/>
            <wp:effectExtent l="0" t="0" r="6985" b="127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十四、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集采方--销售人员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确认账单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订单完成自动生成相应的账单，在账单管理中选择待处理账单，根据需求上浮或下浮金额，填写浮动原因，点击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保存并反馈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74310" cy="2541905"/>
            <wp:effectExtent l="0" t="0" r="2540" b="1079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提交后即可等待平级企业支付款项。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十五、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确认收款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（平级企业）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在付款方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（平级企业）</w:t>
      </w:r>
      <w:r>
        <w:rPr>
          <w:rFonts w:hint="eastAsia" w:ascii="微软雅黑" w:hAnsi="微软雅黑" w:eastAsia="微软雅黑" w:cs="微软雅黑"/>
          <w:sz w:val="28"/>
          <w:szCs w:val="28"/>
        </w:rPr>
        <w:t>确认付款后，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--财务可</w:t>
      </w:r>
      <w:r>
        <w:rPr>
          <w:rFonts w:hint="eastAsia" w:ascii="微软雅黑" w:hAnsi="微软雅黑" w:eastAsia="微软雅黑" w:cs="微软雅黑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8"/>
          <w:szCs w:val="28"/>
        </w:rPr>
        <w:t>收款管理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</w:rPr>
        <w:t>中查看付款详情，确认无误后点击列表上的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确认收款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3675" cy="1647825"/>
            <wp:effectExtent l="0" t="0" r="3175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至此：从平级企业（发起采购计划）——集采企业（受理采购计划、发起竞价）——供应商（发货、收款）——集采企业（对账、付款、收款）——整个采购、竞价、订单、账单流程即完成。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集采企业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--账户设置</w:t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80010</wp:posOffset>
                </wp:positionV>
                <wp:extent cx="519430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86815" y="1390650"/>
                          <a:ext cx="519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45pt;margin-top:6.3pt;height:0pt;width:409pt;z-index:251681792;mso-width-relative:page;mso-height-relative:page;" filled="f" stroked="t" coordsize="21600,21600" o:gfxdata="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rS4H01AAAAAcBAAAPAAAAAAAAAAEA&#10;IAAAACIAAABkcnMvZG93bnJldi54bWxQSwECFAAUAAAACACHTuJAO3m3c9oBAABxAwAADgAAAAAA&#10;AAABACAAAAAjAQAAZHJzL2Uyb0RvYy54bWxQSwUGAAAAAAYABgBZAQAAb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一、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账户设置--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系统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超级管理员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新增用户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（操作流程见图）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3515" cy="2145665"/>
            <wp:effectExtent l="0" t="0" r="13335" b="6985"/>
            <wp:docPr id="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206625"/>
            <wp:effectExtent l="0" t="0" r="2540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账户设置--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系统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超级管理员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管理用户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（操作流程见图）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6055" cy="2138680"/>
            <wp:effectExtent l="0" t="0" r="10795" b="13970"/>
            <wp:docPr id="7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7960" cy="2178050"/>
            <wp:effectExtent l="0" t="0" r="8890" b="1270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CCE40"/>
    <w:multiLevelType w:val="singleLevel"/>
    <w:tmpl w:val="58BCCE40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BCD1A1"/>
    <w:multiLevelType w:val="singleLevel"/>
    <w:tmpl w:val="58BCD1A1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A3"/>
    <w:rsid w:val="00034527"/>
    <w:rsid w:val="00111DF6"/>
    <w:rsid w:val="001A4B3F"/>
    <w:rsid w:val="001B32AA"/>
    <w:rsid w:val="001F1971"/>
    <w:rsid w:val="0022448B"/>
    <w:rsid w:val="00276ECC"/>
    <w:rsid w:val="002D55C3"/>
    <w:rsid w:val="002E7BE2"/>
    <w:rsid w:val="002F01EF"/>
    <w:rsid w:val="00437F45"/>
    <w:rsid w:val="004C59CB"/>
    <w:rsid w:val="00596D82"/>
    <w:rsid w:val="00644AB0"/>
    <w:rsid w:val="00666F55"/>
    <w:rsid w:val="00682349"/>
    <w:rsid w:val="006906B4"/>
    <w:rsid w:val="006C5ABB"/>
    <w:rsid w:val="0075089E"/>
    <w:rsid w:val="00844D32"/>
    <w:rsid w:val="00AD582D"/>
    <w:rsid w:val="00C254C5"/>
    <w:rsid w:val="00CF1010"/>
    <w:rsid w:val="00D44043"/>
    <w:rsid w:val="00DA0410"/>
    <w:rsid w:val="00DC4449"/>
    <w:rsid w:val="00DD7DC4"/>
    <w:rsid w:val="00E24480"/>
    <w:rsid w:val="00E27161"/>
    <w:rsid w:val="00E413A2"/>
    <w:rsid w:val="00E62445"/>
    <w:rsid w:val="00E8271C"/>
    <w:rsid w:val="00EA3720"/>
    <w:rsid w:val="00F31229"/>
    <w:rsid w:val="00F370A3"/>
    <w:rsid w:val="00F40C67"/>
    <w:rsid w:val="02B42F35"/>
    <w:rsid w:val="03B614C5"/>
    <w:rsid w:val="047B7BA7"/>
    <w:rsid w:val="05443605"/>
    <w:rsid w:val="05FC33F7"/>
    <w:rsid w:val="06B110EF"/>
    <w:rsid w:val="07155D08"/>
    <w:rsid w:val="08480ECD"/>
    <w:rsid w:val="08483B89"/>
    <w:rsid w:val="0A9B28F7"/>
    <w:rsid w:val="0AEB4F18"/>
    <w:rsid w:val="0DB26194"/>
    <w:rsid w:val="0E05633D"/>
    <w:rsid w:val="0FEF75D6"/>
    <w:rsid w:val="10A323A4"/>
    <w:rsid w:val="10D53E4A"/>
    <w:rsid w:val="11036620"/>
    <w:rsid w:val="120A71C7"/>
    <w:rsid w:val="14290C92"/>
    <w:rsid w:val="14DB0760"/>
    <w:rsid w:val="16C85DA2"/>
    <w:rsid w:val="1A832858"/>
    <w:rsid w:val="1B5A24E4"/>
    <w:rsid w:val="1C212B7B"/>
    <w:rsid w:val="1CE129F4"/>
    <w:rsid w:val="1D5F01B2"/>
    <w:rsid w:val="1D6A4088"/>
    <w:rsid w:val="1ED94C09"/>
    <w:rsid w:val="1F3D6A31"/>
    <w:rsid w:val="20CC2473"/>
    <w:rsid w:val="21DF26BE"/>
    <w:rsid w:val="21F05C3E"/>
    <w:rsid w:val="24EB2958"/>
    <w:rsid w:val="25A1135B"/>
    <w:rsid w:val="264B6057"/>
    <w:rsid w:val="268571EB"/>
    <w:rsid w:val="2930617B"/>
    <w:rsid w:val="2BAB39B6"/>
    <w:rsid w:val="2BCC2627"/>
    <w:rsid w:val="2C454B12"/>
    <w:rsid w:val="2E5D252C"/>
    <w:rsid w:val="3014726E"/>
    <w:rsid w:val="30222AA4"/>
    <w:rsid w:val="32327AFC"/>
    <w:rsid w:val="32996980"/>
    <w:rsid w:val="335E12C4"/>
    <w:rsid w:val="34094865"/>
    <w:rsid w:val="341F3FF5"/>
    <w:rsid w:val="342B6FCD"/>
    <w:rsid w:val="3442060B"/>
    <w:rsid w:val="34F83C30"/>
    <w:rsid w:val="35F14083"/>
    <w:rsid w:val="379744B3"/>
    <w:rsid w:val="37F87E2B"/>
    <w:rsid w:val="38387384"/>
    <w:rsid w:val="3A0D0643"/>
    <w:rsid w:val="3BE952C4"/>
    <w:rsid w:val="3E234032"/>
    <w:rsid w:val="42275BB6"/>
    <w:rsid w:val="42C717C2"/>
    <w:rsid w:val="43922E3D"/>
    <w:rsid w:val="43DA611F"/>
    <w:rsid w:val="45862EE3"/>
    <w:rsid w:val="45A65148"/>
    <w:rsid w:val="46B55D27"/>
    <w:rsid w:val="4801430A"/>
    <w:rsid w:val="48DF2E57"/>
    <w:rsid w:val="497D5C0F"/>
    <w:rsid w:val="4ADD2B5F"/>
    <w:rsid w:val="4DB44EFE"/>
    <w:rsid w:val="4F430E89"/>
    <w:rsid w:val="4F8E37B3"/>
    <w:rsid w:val="52D526DF"/>
    <w:rsid w:val="54257CAC"/>
    <w:rsid w:val="54A769FE"/>
    <w:rsid w:val="55686403"/>
    <w:rsid w:val="55B933AB"/>
    <w:rsid w:val="56B7762C"/>
    <w:rsid w:val="57CB23C6"/>
    <w:rsid w:val="58192BA1"/>
    <w:rsid w:val="58D7554A"/>
    <w:rsid w:val="5ADB7811"/>
    <w:rsid w:val="5C3A29E8"/>
    <w:rsid w:val="6155512A"/>
    <w:rsid w:val="63985846"/>
    <w:rsid w:val="63C83082"/>
    <w:rsid w:val="65263DE7"/>
    <w:rsid w:val="65EA6144"/>
    <w:rsid w:val="67917E67"/>
    <w:rsid w:val="68702C79"/>
    <w:rsid w:val="68A57C7A"/>
    <w:rsid w:val="6CAA5934"/>
    <w:rsid w:val="6DBA4891"/>
    <w:rsid w:val="714E3D36"/>
    <w:rsid w:val="71AB562E"/>
    <w:rsid w:val="71CD5206"/>
    <w:rsid w:val="72531C31"/>
    <w:rsid w:val="76325163"/>
    <w:rsid w:val="764A03E6"/>
    <w:rsid w:val="79052CEE"/>
    <w:rsid w:val="7D8544D4"/>
    <w:rsid w:val="7DBE588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FollowedHyperlink"/>
    <w:basedOn w:val="4"/>
    <w:unhideWhenUsed/>
    <w:qFormat/>
    <w:uiPriority w:val="99"/>
    <w:rPr>
      <w:color w:val="800080"/>
      <w:u w:val="single"/>
    </w:rPr>
  </w:style>
  <w:style w:type="character" w:styleId="6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4"/>
    <w:link w:val="2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311</Words>
  <Characters>1778</Characters>
  <Lines>14</Lines>
  <Paragraphs>4</Paragraphs>
  <ScaleCrop>false</ScaleCrop>
  <LinksUpToDate>false</LinksUpToDate>
  <CharactersWithSpaces>2085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2017-03-02T03:27:00Z</dcterms:created>
  <dc:creator>蔡婷</dc:creator>
  <cp:lastModifiedBy>Administrator</cp:lastModifiedBy>
  <dcterms:modified xsi:type="dcterms:W3CDTF">2017-03-07T03:02:13Z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